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71C29">
        <w:trPr>
          <w:trHeight w:val="7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677DD2F" wp14:editId="1F6D4CD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523BFF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353102" w:rsidRPr="00353102" w:rsidRDefault="00E65F1E" w:rsidP="003531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 w:rsidR="002E2DFA">
              <w:rPr>
                <w:b/>
                <w:sz w:val="26"/>
                <w:szCs w:val="26"/>
              </w:rPr>
              <w:t xml:space="preserve"> </w:t>
            </w:r>
            <w:r w:rsidR="003874AA">
              <w:rPr>
                <w:b/>
                <w:sz w:val="26"/>
                <w:szCs w:val="26"/>
              </w:rPr>
              <w:t xml:space="preserve"> </w:t>
            </w:r>
            <w:r w:rsidR="00353102" w:rsidRPr="00353102">
              <w:rPr>
                <w:b/>
                <w:sz w:val="26"/>
                <w:szCs w:val="26"/>
              </w:rPr>
              <w:t>Какие ИП и юр</w:t>
            </w:r>
            <w:r w:rsidR="002E2DFA">
              <w:rPr>
                <w:b/>
                <w:sz w:val="26"/>
                <w:szCs w:val="26"/>
              </w:rPr>
              <w:t xml:space="preserve">идические </w:t>
            </w:r>
            <w:r w:rsidR="00353102" w:rsidRPr="00353102">
              <w:rPr>
                <w:b/>
                <w:sz w:val="26"/>
                <w:szCs w:val="26"/>
              </w:rPr>
              <w:t>лица в 20</w:t>
            </w:r>
            <w:r w:rsidR="002E2DFA">
              <w:rPr>
                <w:b/>
                <w:sz w:val="26"/>
                <w:szCs w:val="26"/>
              </w:rPr>
              <w:t>21 году могут работать без ККТ</w:t>
            </w:r>
          </w:p>
          <w:p w:rsidR="00353102" w:rsidRPr="00353102" w:rsidRDefault="002E2DFA" w:rsidP="00353102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353102" w:rsidRPr="00353102">
              <w:rPr>
                <w:sz w:val="26"/>
                <w:szCs w:val="26"/>
              </w:rPr>
              <w:t xml:space="preserve">В 2021 году без ККТ могут работать </w:t>
            </w:r>
            <w:r>
              <w:rPr>
                <w:sz w:val="26"/>
                <w:szCs w:val="26"/>
              </w:rPr>
              <w:t>«</w:t>
            </w:r>
            <w:proofErr w:type="spellStart"/>
            <w:r w:rsidR="00353102" w:rsidRPr="00353102">
              <w:rPr>
                <w:sz w:val="26"/>
                <w:szCs w:val="26"/>
              </w:rPr>
              <w:t>самозанятые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353102" w:rsidRPr="00353102">
              <w:rPr>
                <w:sz w:val="26"/>
                <w:szCs w:val="26"/>
              </w:rPr>
              <w:t xml:space="preserve"> граждане, а также некоторые индивидуальные предприниматели и юридические лица.</w:t>
            </w:r>
          </w:p>
          <w:p w:rsidR="002E2DFA" w:rsidRDefault="002E2DFA" w:rsidP="002E2D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53102" w:rsidRPr="00353102">
              <w:rPr>
                <w:sz w:val="26"/>
                <w:szCs w:val="26"/>
              </w:rPr>
              <w:t xml:space="preserve">При этом постоянно могут работать без ККТ такие категории предпринимателей: </w:t>
            </w:r>
          </w:p>
          <w:p w:rsidR="002E2DFA" w:rsidRPr="002E2DFA" w:rsidRDefault="002E2DFA" w:rsidP="002E2DFA">
            <w:pPr>
              <w:pStyle w:val="ac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F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53102" w:rsidRPr="002E2DFA">
              <w:rPr>
                <w:rFonts w:ascii="Times New Roman" w:hAnsi="Times New Roman" w:cs="Times New Roman"/>
                <w:sz w:val="26"/>
                <w:szCs w:val="26"/>
              </w:rPr>
              <w:t>самозанятые</w:t>
            </w:r>
            <w:proofErr w:type="spellEnd"/>
            <w:r w:rsidRPr="002E2DF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353102" w:rsidRPr="002E2DFA">
              <w:rPr>
                <w:rFonts w:ascii="Times New Roman" w:hAnsi="Times New Roman" w:cs="Times New Roman"/>
                <w:sz w:val="26"/>
                <w:szCs w:val="26"/>
              </w:rPr>
              <w:t xml:space="preserve"> ИП в отношении доходов, облагаемых НПД; </w:t>
            </w:r>
          </w:p>
          <w:p w:rsidR="002E2DFA" w:rsidRPr="002E2DFA" w:rsidRDefault="00353102" w:rsidP="002E2DFA">
            <w:pPr>
              <w:pStyle w:val="ac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FA">
              <w:rPr>
                <w:rFonts w:ascii="Times New Roman" w:hAnsi="Times New Roman" w:cs="Times New Roman"/>
                <w:sz w:val="26"/>
                <w:szCs w:val="26"/>
              </w:rPr>
              <w:t>ИП и юр</w:t>
            </w:r>
            <w:r w:rsidR="002E2DFA">
              <w:rPr>
                <w:rFonts w:ascii="Times New Roman" w:hAnsi="Times New Roman" w:cs="Times New Roman"/>
                <w:sz w:val="26"/>
                <w:szCs w:val="26"/>
              </w:rPr>
              <w:t xml:space="preserve">идические </w:t>
            </w:r>
            <w:r w:rsidRPr="002E2DFA">
              <w:rPr>
                <w:rFonts w:ascii="Times New Roman" w:hAnsi="Times New Roman" w:cs="Times New Roman"/>
                <w:sz w:val="26"/>
                <w:szCs w:val="26"/>
              </w:rPr>
              <w:t>лица, которые продают товары на розничных рынках, ярмарках, торгуют овощами, фруктами вразвал (п. 2 ст. 2 Закона № 54</w:t>
            </w:r>
            <w:r w:rsidRPr="002E2DFA">
              <w:rPr>
                <w:rFonts w:ascii="Times New Roman" w:hAnsi="Times New Roman" w:cs="Times New Roman"/>
                <w:sz w:val="26"/>
                <w:szCs w:val="26"/>
              </w:rPr>
              <w:noBreakHyphen/>
              <w:t>ФЗ);</w:t>
            </w:r>
          </w:p>
          <w:p w:rsidR="002E2DFA" w:rsidRDefault="00353102" w:rsidP="002E2DFA">
            <w:pPr>
              <w:pStyle w:val="ac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FA">
              <w:rPr>
                <w:rFonts w:ascii="Times New Roman" w:hAnsi="Times New Roman" w:cs="Times New Roman"/>
                <w:sz w:val="26"/>
                <w:szCs w:val="26"/>
              </w:rPr>
              <w:t>ИП и юр</w:t>
            </w:r>
            <w:r w:rsidR="002E2DFA">
              <w:rPr>
                <w:rFonts w:ascii="Times New Roman" w:hAnsi="Times New Roman" w:cs="Times New Roman"/>
                <w:sz w:val="26"/>
                <w:szCs w:val="26"/>
              </w:rPr>
              <w:t xml:space="preserve">идические </w:t>
            </w:r>
            <w:r w:rsidRPr="002E2DFA">
              <w:rPr>
                <w:rFonts w:ascii="Times New Roman" w:hAnsi="Times New Roman" w:cs="Times New Roman"/>
                <w:sz w:val="26"/>
                <w:szCs w:val="26"/>
              </w:rPr>
              <w:t>лица, производящие расчеты в удаленных местностях (п. 3 ст. 2 Закона № 54</w:t>
            </w:r>
            <w:r w:rsidRPr="002E2DFA">
              <w:rPr>
                <w:rFonts w:ascii="Times New Roman" w:hAnsi="Times New Roman" w:cs="Times New Roman"/>
                <w:sz w:val="26"/>
                <w:szCs w:val="26"/>
              </w:rPr>
              <w:noBreakHyphen/>
              <w:t>ФЗ);</w:t>
            </w:r>
          </w:p>
          <w:p w:rsidR="002E2DFA" w:rsidRPr="002E2DFA" w:rsidRDefault="00353102" w:rsidP="002E2DFA">
            <w:pPr>
              <w:pStyle w:val="ac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FA">
              <w:rPr>
                <w:rFonts w:ascii="Times New Roman" w:hAnsi="Times New Roman" w:cs="Times New Roman"/>
                <w:sz w:val="26"/>
                <w:szCs w:val="26"/>
              </w:rPr>
              <w:t xml:space="preserve"> ИП, которые продают билеты и абонементы в театр с рук или лотка (п. 14 ст. 2 Закона № 54</w:t>
            </w:r>
            <w:r w:rsidRPr="002E2DFA">
              <w:rPr>
                <w:rFonts w:ascii="Times New Roman" w:hAnsi="Times New Roman" w:cs="Times New Roman"/>
                <w:sz w:val="26"/>
                <w:szCs w:val="26"/>
              </w:rPr>
              <w:noBreakHyphen/>
              <w:t>ФЗ);</w:t>
            </w:r>
          </w:p>
          <w:p w:rsidR="002E2DFA" w:rsidRPr="002E2DFA" w:rsidRDefault="00353102" w:rsidP="002E2DFA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FA">
              <w:rPr>
                <w:rFonts w:ascii="Times New Roman" w:hAnsi="Times New Roman" w:cs="Times New Roman"/>
                <w:sz w:val="26"/>
                <w:szCs w:val="26"/>
              </w:rPr>
              <w:t>ИП на патенте по некоторым видам деятельност</w:t>
            </w:r>
            <w:r w:rsidR="002E2DFA" w:rsidRPr="002E2DFA">
              <w:rPr>
                <w:rFonts w:ascii="Times New Roman" w:hAnsi="Times New Roman" w:cs="Times New Roman"/>
                <w:sz w:val="26"/>
                <w:szCs w:val="26"/>
              </w:rPr>
              <w:t>и (п. 2.1 ст. 2 Закона № 54</w:t>
            </w:r>
            <w:r w:rsidR="002E2DFA" w:rsidRPr="002E2DFA">
              <w:rPr>
                <w:rFonts w:ascii="Times New Roman" w:hAnsi="Times New Roman" w:cs="Times New Roman"/>
                <w:sz w:val="26"/>
                <w:szCs w:val="26"/>
              </w:rPr>
              <w:noBreakHyphen/>
              <w:t>ФЗ),</w:t>
            </w:r>
            <w:r w:rsidRPr="002E2DFA">
              <w:rPr>
                <w:rFonts w:ascii="Times New Roman" w:hAnsi="Times New Roman" w:cs="Times New Roman"/>
                <w:sz w:val="26"/>
                <w:szCs w:val="26"/>
              </w:rPr>
              <w:t xml:space="preserve"> но они должны указывать названия, количество и цену за единицу товаров в документах, которые выдают взамен кассового чека.</w:t>
            </w:r>
          </w:p>
          <w:p w:rsidR="00353102" w:rsidRPr="00353102" w:rsidRDefault="002E2DFA" w:rsidP="00E96F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53102" w:rsidRPr="00353102">
              <w:rPr>
                <w:sz w:val="26"/>
                <w:szCs w:val="26"/>
              </w:rPr>
              <w:t xml:space="preserve"> До 1 июля 2021 года без ККТ могут работать предприниматели без наемных работников, которые продают товары собственного производства, выполняют работы или оказывают услуги. Перечень видов деятельности, при которых разрешено не применят</w:t>
            </w:r>
            <w:r>
              <w:rPr>
                <w:sz w:val="26"/>
                <w:szCs w:val="26"/>
              </w:rPr>
              <w:t>ь ККТ, указан ниже: Торговля</w:t>
            </w:r>
            <w:r w:rsidR="00353102" w:rsidRPr="00353102">
              <w:rPr>
                <w:sz w:val="26"/>
                <w:szCs w:val="26"/>
              </w:rPr>
              <w:t xml:space="preserve"> через механические автоматы, розничная торговля бахилами; торговля из автоцистерн квасом, молоком, живой рыбой и пр.; продажа бумажных газет и журналов в любых точках, продажа сопутствующих товаров в киосках, в которых выручка от газет и журналов составляет не менее 50%; </w:t>
            </w:r>
            <w:proofErr w:type="gramStart"/>
            <w:r w:rsidR="00353102" w:rsidRPr="00353102">
              <w:rPr>
                <w:sz w:val="26"/>
                <w:szCs w:val="26"/>
              </w:rPr>
              <w:t>торговля на рынках, ярмарках, в выставочных комплексах, вне магазинов, павильонов, палаток, автолавок и пр.; продажа в киосках мороженого, безалкогольных напитков, молока, воды в розлив; разносная торговля, за исключением маркированных, технически сложных товаров и товаров с особыми условиями хранения; продажа ценных бумаг; торговля вразвал овощами и фруктами; продажа завтраков и обедов в школьных столовых в период учебы;</w:t>
            </w:r>
            <w:proofErr w:type="gramEnd"/>
            <w:r w:rsidR="00353102" w:rsidRPr="00353102">
              <w:rPr>
                <w:sz w:val="26"/>
                <w:szCs w:val="26"/>
              </w:rPr>
              <w:t xml:space="preserve"> продажа изготовителем изделий народных художественных промыслов. Услуги ремонт и окраска обуви; присмотр и уход за детьми, больными, престарелыми и инвалидами; изготовление и ремонт металлической галантереи и ключей; услуги носильщика на вокзалах и портах; распиловка дров и вспашка огородов; сдача в аренду своего жилья, а также жилья с </w:t>
            </w:r>
            <w:proofErr w:type="spellStart"/>
            <w:r w:rsidR="00353102" w:rsidRPr="00353102">
              <w:rPr>
                <w:sz w:val="26"/>
                <w:szCs w:val="26"/>
              </w:rPr>
              <w:t>машиноместами</w:t>
            </w:r>
            <w:proofErr w:type="spellEnd"/>
            <w:r w:rsidR="00353102" w:rsidRPr="00353102">
              <w:rPr>
                <w:sz w:val="26"/>
                <w:szCs w:val="26"/>
              </w:rPr>
              <w:t xml:space="preserve"> в многоквартирных домах. </w:t>
            </w:r>
            <w:proofErr w:type="gramStart"/>
            <w:r w:rsidR="00353102" w:rsidRPr="00353102">
              <w:rPr>
                <w:sz w:val="26"/>
                <w:szCs w:val="26"/>
              </w:rPr>
              <w:t>Другие операции безналичные расчеты между ИП и компаниям; прием от населения бутылок и другой стеклянной посуды, утильсырья, кроме металлолома, драгметаллов и камней; расчеты за товары, работы, услуги в удаленной и труднодоступной местности; расчеты в аптеках, фельдшерских и фельдшерско-акушерских пунктах в сельской местности; религиозные обряды и церемонии, продажа религиозной литературы, предметов религиозного культа в специальных местах;</w:t>
            </w:r>
            <w:proofErr w:type="gramEnd"/>
            <w:r w:rsidR="00353102" w:rsidRPr="00353102">
              <w:rPr>
                <w:sz w:val="26"/>
                <w:szCs w:val="26"/>
              </w:rPr>
              <w:t xml:space="preserve"> расчеты по некоторым операциям ИП на патенте, расчеты </w:t>
            </w:r>
            <w:proofErr w:type="spellStart"/>
            <w:r w:rsidR="00353102" w:rsidRPr="00353102">
              <w:rPr>
                <w:sz w:val="26"/>
                <w:szCs w:val="26"/>
              </w:rPr>
              <w:t>самозанятых</w:t>
            </w:r>
            <w:proofErr w:type="spellEnd"/>
            <w:r w:rsidR="00353102" w:rsidRPr="00353102">
              <w:rPr>
                <w:sz w:val="26"/>
                <w:szCs w:val="26"/>
              </w:rPr>
              <w:t xml:space="preserve"> ИП.</w:t>
            </w:r>
            <w:r w:rsidR="00E96F98">
              <w:rPr>
                <w:sz w:val="26"/>
                <w:szCs w:val="26"/>
              </w:rPr>
              <w:t xml:space="preserve"> </w:t>
            </w:r>
            <w:hyperlink r:id="rId8" w:history="1">
              <w:r w:rsidR="00353102" w:rsidRPr="00353102">
                <w:rPr>
                  <w:sz w:val="26"/>
                  <w:szCs w:val="26"/>
                </w:rPr>
                <w:t>https://www.business.ru/news/25027-kakie-ip-i-yurlitsa-v-2021-godu-mogut-rabotat-bez-kkt-sm-perechen</w:t>
              </w:r>
            </w:hyperlink>
          </w:p>
          <w:p w:rsidR="00C71C29" w:rsidRPr="00121451" w:rsidRDefault="00C71C29" w:rsidP="002F0359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5F1E"/>
    <w:rsid w:val="00E66347"/>
    <w:rsid w:val="00E705F8"/>
    <w:rsid w:val="00E75890"/>
    <w:rsid w:val="00E76EE3"/>
    <w:rsid w:val="00E8322D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.ru/news/25027-kakie-ip-i-yurlitsa-v-2021-godu-mogut-rabotat-bez-kkt-sm-perech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BFCC-C0A8-45B8-BA20-1355EDD0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2021-06-10T05:54:00Z</dcterms:created>
  <dcterms:modified xsi:type="dcterms:W3CDTF">2021-06-10T06:08:00Z</dcterms:modified>
</cp:coreProperties>
</file>