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F4" w:rsidRDefault="00F874F4" w:rsidP="00CE669D">
      <w:pPr>
        <w:rPr>
          <w:noProof/>
          <w:sz w:val="24"/>
        </w:rPr>
      </w:pPr>
    </w:p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>МУНИЦИПАЛЬНОГО</w:t>
      </w:r>
      <w:r w:rsidR="001E1EC8">
        <w:rPr>
          <w:b/>
          <w:sz w:val="28"/>
          <w:szCs w:val="28"/>
        </w:rPr>
        <w:t xml:space="preserve"> </w:t>
      </w:r>
      <w:r w:rsidRPr="00ED0A1D">
        <w:rPr>
          <w:b/>
          <w:sz w:val="28"/>
          <w:szCs w:val="28"/>
        </w:rPr>
        <w:t xml:space="preserve">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Default="00E703F9" w:rsidP="00CE669D">
      <w:pPr>
        <w:rPr>
          <w:sz w:val="28"/>
          <w:szCs w:val="28"/>
        </w:rPr>
      </w:pPr>
      <w:r>
        <w:rPr>
          <w:sz w:val="28"/>
          <w:szCs w:val="28"/>
        </w:rPr>
        <w:t>03.09.</w:t>
      </w:r>
      <w:r w:rsidRPr="00E703F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                    </w:t>
      </w:r>
      <w:r w:rsidRPr="00E703F9">
        <w:rPr>
          <w:sz w:val="28"/>
          <w:szCs w:val="28"/>
        </w:rPr>
        <w:t xml:space="preserve">                п. Кировский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Pr="00E703F9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294</w:t>
      </w:r>
    </w:p>
    <w:p w:rsidR="00E703F9" w:rsidRPr="003F4FA6" w:rsidRDefault="00E703F9" w:rsidP="00CE669D">
      <w:pPr>
        <w:rPr>
          <w:b/>
          <w:bCs/>
          <w:sz w:val="28"/>
          <w:szCs w:val="26"/>
        </w:rPr>
      </w:pPr>
    </w:p>
    <w:p w:rsidR="002F325D" w:rsidRDefault="00904A63" w:rsidP="00F735F4">
      <w:pPr>
        <w:jc w:val="center"/>
        <w:rPr>
          <w:b/>
          <w:sz w:val="28"/>
          <w:szCs w:val="28"/>
        </w:rPr>
      </w:pPr>
      <w:r w:rsidRPr="00904A63">
        <w:rPr>
          <w:b/>
          <w:sz w:val="28"/>
          <w:szCs w:val="28"/>
        </w:rPr>
        <w:t>Об утверждении перечня и методики расчета ключевых показателей эффективности антимонопольн</w:t>
      </w:r>
      <w:r>
        <w:rPr>
          <w:b/>
          <w:sz w:val="28"/>
          <w:szCs w:val="28"/>
        </w:rPr>
        <w:t xml:space="preserve">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администрации Кировского </w:t>
      </w:r>
      <w:r w:rsidRPr="00904A63">
        <w:rPr>
          <w:b/>
          <w:sz w:val="28"/>
          <w:szCs w:val="28"/>
        </w:rPr>
        <w:t xml:space="preserve"> муниципального района</w:t>
      </w:r>
    </w:p>
    <w:p w:rsidR="00904A63" w:rsidRPr="003F4FA6" w:rsidRDefault="00904A63" w:rsidP="00F735F4">
      <w:pPr>
        <w:jc w:val="center"/>
        <w:rPr>
          <w:noProof/>
          <w:sz w:val="28"/>
        </w:rPr>
      </w:pPr>
    </w:p>
    <w:p w:rsidR="00D25F79" w:rsidRDefault="002F325D" w:rsidP="00036FB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C51E33">
        <w:rPr>
          <w:color w:val="FF0000"/>
          <w:sz w:val="28"/>
          <w:szCs w:val="28"/>
        </w:rPr>
        <w:t xml:space="preserve">  </w:t>
      </w:r>
      <w:r w:rsidR="00D82879" w:rsidRPr="00D82879">
        <w:rPr>
          <w:sz w:val="28"/>
          <w:szCs w:val="28"/>
        </w:rPr>
        <w:tab/>
      </w:r>
      <w:r w:rsidR="00036FBE" w:rsidRPr="00036FBE">
        <w:rPr>
          <w:sz w:val="28"/>
          <w:szCs w:val="28"/>
        </w:rPr>
        <w:t xml:space="preserve">В целях реализации постановления администрации </w:t>
      </w:r>
      <w:r w:rsidR="00036FBE">
        <w:rPr>
          <w:sz w:val="28"/>
          <w:szCs w:val="28"/>
        </w:rPr>
        <w:t>Кировского</w:t>
      </w:r>
      <w:r w:rsidR="00036FBE" w:rsidRPr="00036FBE">
        <w:rPr>
          <w:sz w:val="28"/>
          <w:szCs w:val="28"/>
        </w:rPr>
        <w:t xml:space="preserve"> муниципального района от  </w:t>
      </w:r>
      <w:r w:rsidR="00036FBE">
        <w:rPr>
          <w:sz w:val="28"/>
          <w:szCs w:val="28"/>
        </w:rPr>
        <w:t>14</w:t>
      </w:r>
      <w:r w:rsidR="00036FBE" w:rsidRPr="00036FBE">
        <w:rPr>
          <w:sz w:val="28"/>
          <w:szCs w:val="28"/>
        </w:rPr>
        <w:t xml:space="preserve"> </w:t>
      </w:r>
      <w:r w:rsidR="00036FBE">
        <w:rPr>
          <w:sz w:val="28"/>
          <w:szCs w:val="28"/>
        </w:rPr>
        <w:t xml:space="preserve">мая </w:t>
      </w:r>
      <w:r w:rsidR="00036FBE" w:rsidRPr="00036FBE">
        <w:rPr>
          <w:sz w:val="28"/>
          <w:szCs w:val="28"/>
        </w:rPr>
        <w:t xml:space="preserve"> 2020 г. № </w:t>
      </w:r>
      <w:r w:rsidR="00036FBE">
        <w:rPr>
          <w:sz w:val="28"/>
          <w:szCs w:val="28"/>
        </w:rPr>
        <w:t>143</w:t>
      </w:r>
      <w:r w:rsidR="00036FBE" w:rsidRPr="00036FBE">
        <w:rPr>
          <w:sz w:val="28"/>
          <w:szCs w:val="28"/>
        </w:rPr>
        <w:t xml:space="preserve"> 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036FBE" w:rsidRPr="00036FBE">
        <w:rPr>
          <w:sz w:val="28"/>
          <w:szCs w:val="28"/>
        </w:rPr>
        <w:t>комплаенса</w:t>
      </w:r>
      <w:proofErr w:type="spellEnd"/>
      <w:r w:rsidR="00036FBE" w:rsidRPr="00036FBE">
        <w:rPr>
          <w:sz w:val="28"/>
          <w:szCs w:val="28"/>
        </w:rPr>
        <w:t xml:space="preserve">) в администрации </w:t>
      </w:r>
      <w:r w:rsidR="001E1EC8">
        <w:rPr>
          <w:sz w:val="28"/>
          <w:szCs w:val="28"/>
        </w:rPr>
        <w:t>Кировского</w:t>
      </w:r>
      <w:r w:rsidR="00036FBE" w:rsidRPr="00036FBE">
        <w:rPr>
          <w:sz w:val="28"/>
          <w:szCs w:val="28"/>
        </w:rPr>
        <w:t xml:space="preserve"> муниципального района» администрация </w:t>
      </w:r>
      <w:r w:rsidR="00036FBE">
        <w:rPr>
          <w:sz w:val="28"/>
          <w:szCs w:val="28"/>
        </w:rPr>
        <w:t xml:space="preserve">Кировского </w:t>
      </w:r>
      <w:r w:rsidR="00036FBE" w:rsidRPr="00036FBE">
        <w:rPr>
          <w:sz w:val="28"/>
          <w:szCs w:val="28"/>
        </w:rPr>
        <w:t>муниципального района</w:t>
      </w:r>
    </w:p>
    <w:p w:rsidR="00D25F79" w:rsidRDefault="00D25F79" w:rsidP="00CE669D">
      <w:pPr>
        <w:jc w:val="both"/>
        <w:rPr>
          <w:b/>
          <w:sz w:val="28"/>
        </w:rPr>
      </w:pPr>
    </w:p>
    <w:p w:rsidR="00CE669D" w:rsidRPr="00040918" w:rsidRDefault="00CE669D" w:rsidP="00CE669D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CE669D">
      <w:pPr>
        <w:jc w:val="both"/>
        <w:rPr>
          <w:sz w:val="28"/>
        </w:rPr>
      </w:pPr>
    </w:p>
    <w:p w:rsidR="00CE669D" w:rsidRPr="003F4FA6" w:rsidRDefault="00CE669D" w:rsidP="00CE669D">
      <w:pPr>
        <w:jc w:val="both"/>
        <w:rPr>
          <w:sz w:val="28"/>
        </w:rPr>
      </w:pPr>
    </w:p>
    <w:p w:rsidR="00036FBE" w:rsidRPr="00036FBE" w:rsidRDefault="00036FBE" w:rsidP="00036FBE">
      <w:pPr>
        <w:jc w:val="both"/>
        <w:rPr>
          <w:bCs/>
          <w:sz w:val="28"/>
          <w:szCs w:val="28"/>
        </w:rPr>
      </w:pPr>
      <w:bookmarkStart w:id="1" w:name="Par41"/>
      <w:bookmarkEnd w:id="1"/>
      <w:r w:rsidRPr="00036FBE">
        <w:rPr>
          <w:bCs/>
          <w:sz w:val="28"/>
          <w:szCs w:val="28"/>
        </w:rPr>
        <w:t>1. Утвердить:</w:t>
      </w:r>
    </w:p>
    <w:p w:rsidR="00036FBE" w:rsidRPr="00036FBE" w:rsidRDefault="00036FBE" w:rsidP="00EC3AA7">
      <w:pPr>
        <w:ind w:firstLine="567"/>
        <w:jc w:val="both"/>
        <w:rPr>
          <w:bCs/>
          <w:sz w:val="28"/>
          <w:szCs w:val="28"/>
        </w:rPr>
      </w:pPr>
      <w:r w:rsidRPr="00036FBE">
        <w:rPr>
          <w:bCs/>
          <w:sz w:val="28"/>
          <w:szCs w:val="28"/>
        </w:rPr>
        <w:t xml:space="preserve">1.1. Ключевые показатели эффективности антимонопольного </w:t>
      </w:r>
      <w:proofErr w:type="spellStart"/>
      <w:r w:rsidRPr="00036FBE">
        <w:rPr>
          <w:bCs/>
          <w:sz w:val="28"/>
          <w:szCs w:val="28"/>
        </w:rPr>
        <w:t>комплаенса</w:t>
      </w:r>
      <w:proofErr w:type="spellEnd"/>
      <w:r w:rsidRPr="00036FBE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Кировского</w:t>
      </w:r>
      <w:r w:rsidRPr="00036FBE">
        <w:rPr>
          <w:bCs/>
          <w:sz w:val="28"/>
          <w:szCs w:val="28"/>
        </w:rPr>
        <w:t xml:space="preserve"> муниципального района (приложение №1);</w:t>
      </w:r>
    </w:p>
    <w:p w:rsidR="00036FBE" w:rsidRPr="00036FBE" w:rsidRDefault="00036FBE" w:rsidP="00EC3AA7">
      <w:pPr>
        <w:ind w:firstLine="567"/>
        <w:jc w:val="both"/>
        <w:rPr>
          <w:bCs/>
          <w:sz w:val="28"/>
          <w:szCs w:val="28"/>
        </w:rPr>
      </w:pPr>
      <w:r w:rsidRPr="00036FBE">
        <w:rPr>
          <w:bCs/>
          <w:sz w:val="28"/>
          <w:szCs w:val="28"/>
        </w:rPr>
        <w:t xml:space="preserve">1.2. Методику расчета ключевых показателей эффективности антимонопольного </w:t>
      </w:r>
      <w:proofErr w:type="spellStart"/>
      <w:r w:rsidRPr="00036FBE">
        <w:rPr>
          <w:bCs/>
          <w:sz w:val="28"/>
          <w:szCs w:val="28"/>
        </w:rPr>
        <w:t>комплаенса</w:t>
      </w:r>
      <w:proofErr w:type="spellEnd"/>
      <w:r w:rsidRPr="00036FBE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Кировского</w:t>
      </w:r>
      <w:r w:rsidRPr="00036FBE">
        <w:rPr>
          <w:bCs/>
          <w:sz w:val="28"/>
          <w:szCs w:val="28"/>
        </w:rPr>
        <w:t xml:space="preserve"> муниципального района (приложение №2).</w:t>
      </w:r>
    </w:p>
    <w:p w:rsidR="00036FBE" w:rsidRPr="00036FBE" w:rsidRDefault="00036FBE" w:rsidP="00EC3AA7">
      <w:pPr>
        <w:ind w:firstLine="567"/>
        <w:jc w:val="both"/>
        <w:rPr>
          <w:bCs/>
          <w:sz w:val="28"/>
          <w:szCs w:val="28"/>
        </w:rPr>
      </w:pPr>
      <w:r w:rsidRPr="00036FBE">
        <w:rPr>
          <w:bCs/>
          <w:sz w:val="28"/>
          <w:szCs w:val="28"/>
        </w:rPr>
        <w:t xml:space="preserve">2. Руководителям структурных подразделений администрации организовать работу 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bCs/>
          <w:sz w:val="28"/>
          <w:szCs w:val="28"/>
        </w:rPr>
        <w:t>Кировского</w:t>
      </w:r>
      <w:r w:rsidRPr="00036FBE">
        <w:rPr>
          <w:bCs/>
          <w:sz w:val="28"/>
          <w:szCs w:val="28"/>
        </w:rPr>
        <w:t xml:space="preserve"> муниципального района.</w:t>
      </w:r>
    </w:p>
    <w:p w:rsidR="00036FBE" w:rsidRPr="00036FBE" w:rsidRDefault="00036FBE" w:rsidP="00EC3AA7">
      <w:pPr>
        <w:ind w:firstLine="567"/>
        <w:jc w:val="both"/>
        <w:rPr>
          <w:bCs/>
          <w:sz w:val="28"/>
          <w:szCs w:val="28"/>
        </w:rPr>
      </w:pPr>
      <w:r w:rsidRPr="00036FBE">
        <w:rPr>
          <w:bCs/>
          <w:sz w:val="28"/>
          <w:szCs w:val="28"/>
        </w:rPr>
        <w:t xml:space="preserve">3. Руководителю аппарата администрации Кировского муниципального района (Тыщенко Л.А.) обеспечить ознакомление сотрудников администрации с настоящим постановлением, </w:t>
      </w:r>
      <w:proofErr w:type="gramStart"/>
      <w:r w:rsidRPr="00036FBE">
        <w:rPr>
          <w:bCs/>
          <w:sz w:val="28"/>
          <w:szCs w:val="28"/>
        </w:rPr>
        <w:t>разместить</w:t>
      </w:r>
      <w:proofErr w:type="gramEnd"/>
      <w:r w:rsidRPr="00036FBE">
        <w:rPr>
          <w:bCs/>
          <w:sz w:val="28"/>
          <w:szCs w:val="28"/>
        </w:rPr>
        <w:t xml:space="preserve"> настоящее постановление на сайте администрации.</w:t>
      </w:r>
    </w:p>
    <w:p w:rsidR="00CE669D" w:rsidRDefault="00036FBE" w:rsidP="00EC3AA7">
      <w:pPr>
        <w:ind w:firstLine="567"/>
        <w:jc w:val="both"/>
        <w:rPr>
          <w:bCs/>
          <w:sz w:val="28"/>
          <w:szCs w:val="28"/>
        </w:rPr>
      </w:pPr>
      <w:r w:rsidRPr="00036FBE">
        <w:rPr>
          <w:bCs/>
          <w:sz w:val="28"/>
          <w:szCs w:val="28"/>
        </w:rPr>
        <w:t xml:space="preserve">4. </w:t>
      </w:r>
      <w:proofErr w:type="gramStart"/>
      <w:r w:rsidRPr="00036FBE">
        <w:rPr>
          <w:bCs/>
          <w:sz w:val="28"/>
          <w:szCs w:val="28"/>
        </w:rPr>
        <w:t>Контроль за</w:t>
      </w:r>
      <w:proofErr w:type="gramEnd"/>
      <w:r w:rsidRPr="00036FBE">
        <w:rPr>
          <w:bCs/>
          <w:sz w:val="28"/>
          <w:szCs w:val="28"/>
        </w:rPr>
        <w:t xml:space="preserve"> выполнением настоящего распоряжения оставляю за собой.</w:t>
      </w:r>
    </w:p>
    <w:p w:rsidR="00036FBE" w:rsidRDefault="00036FBE" w:rsidP="00EC3AA7">
      <w:pPr>
        <w:ind w:firstLine="567"/>
        <w:jc w:val="both"/>
        <w:rPr>
          <w:sz w:val="28"/>
        </w:rPr>
      </w:pPr>
    </w:p>
    <w:p w:rsidR="00EC3AA7" w:rsidRDefault="00EC3AA7" w:rsidP="00EC3AA7">
      <w:pPr>
        <w:ind w:firstLine="567"/>
        <w:jc w:val="both"/>
        <w:rPr>
          <w:sz w:val="28"/>
        </w:rPr>
      </w:pPr>
    </w:p>
    <w:p w:rsidR="00EC3AA7" w:rsidRDefault="00EC3AA7" w:rsidP="00EC3AA7">
      <w:pPr>
        <w:ind w:firstLine="567"/>
        <w:jc w:val="both"/>
        <w:rPr>
          <w:sz w:val="28"/>
        </w:rPr>
      </w:pPr>
    </w:p>
    <w:p w:rsidR="00EC3AA7" w:rsidRPr="003453BB" w:rsidRDefault="00EC3AA7" w:rsidP="00EC3AA7">
      <w:pPr>
        <w:ind w:firstLine="567"/>
        <w:jc w:val="both"/>
        <w:rPr>
          <w:sz w:val="28"/>
        </w:rPr>
      </w:pPr>
    </w:p>
    <w:p w:rsidR="00393DDF" w:rsidRPr="003453BB" w:rsidRDefault="00393DDF" w:rsidP="00393DDF">
      <w:pPr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393DDF" w:rsidRPr="003453BB" w:rsidRDefault="00393DDF" w:rsidP="00393DDF">
      <w:pPr>
        <w:rPr>
          <w:sz w:val="28"/>
        </w:rPr>
      </w:pPr>
      <w:r w:rsidRPr="003453BB">
        <w:rPr>
          <w:sz w:val="28"/>
        </w:rPr>
        <w:t xml:space="preserve">глава администрации </w:t>
      </w:r>
      <w:proofErr w:type="gramStart"/>
      <w:r w:rsidRPr="003453BB">
        <w:rPr>
          <w:sz w:val="28"/>
        </w:rPr>
        <w:t>Кировского</w:t>
      </w:r>
      <w:proofErr w:type="gramEnd"/>
    </w:p>
    <w:p w:rsidR="00CE669D" w:rsidRPr="003453BB" w:rsidRDefault="00393DDF" w:rsidP="00393DDF">
      <w:pPr>
        <w:rPr>
          <w:sz w:val="28"/>
        </w:rPr>
      </w:pPr>
      <w:r w:rsidRPr="003453BB">
        <w:rPr>
          <w:sz w:val="28"/>
        </w:rPr>
        <w:t xml:space="preserve">муниципального  района                                                             </w:t>
      </w:r>
      <w:r w:rsidR="003453BB">
        <w:rPr>
          <w:sz w:val="28"/>
        </w:rPr>
        <w:t xml:space="preserve">      </w:t>
      </w:r>
      <w:r w:rsidRPr="003453BB">
        <w:rPr>
          <w:sz w:val="28"/>
        </w:rPr>
        <w:t xml:space="preserve"> И.И. Вотяков</w:t>
      </w:r>
    </w:p>
    <w:p w:rsidR="00CE669D" w:rsidRPr="003453BB" w:rsidRDefault="00CE669D" w:rsidP="00CE669D">
      <w:pPr>
        <w:widowControl w:val="0"/>
        <w:jc w:val="both"/>
        <w:rPr>
          <w:sz w:val="28"/>
        </w:rPr>
      </w:pPr>
    </w:p>
    <w:p w:rsidR="00211325" w:rsidRDefault="00211325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3D02CD" w:rsidRDefault="003D02CD">
      <w:pPr>
        <w:spacing w:after="200" w:line="276" w:lineRule="auto"/>
      </w:pPr>
    </w:p>
    <w:p w:rsidR="003D02CD" w:rsidRDefault="003D02CD">
      <w:pPr>
        <w:spacing w:after="200" w:line="276" w:lineRule="auto"/>
      </w:pPr>
    </w:p>
    <w:p w:rsidR="003D02CD" w:rsidRDefault="003D02CD">
      <w:pPr>
        <w:spacing w:after="200" w:line="276" w:lineRule="auto"/>
      </w:pPr>
    </w:p>
    <w:p w:rsidR="003D02CD" w:rsidRDefault="003D02CD">
      <w:pPr>
        <w:spacing w:after="200" w:line="276" w:lineRule="auto"/>
      </w:pPr>
    </w:p>
    <w:p w:rsidR="003D02CD" w:rsidRDefault="003D02CD">
      <w:pPr>
        <w:spacing w:after="200" w:line="276" w:lineRule="auto"/>
      </w:pPr>
    </w:p>
    <w:p w:rsidR="00EC3AA7" w:rsidRDefault="00EC3AA7" w:rsidP="00EC3AA7">
      <w:pPr>
        <w:suppressAutoHyphens/>
        <w:ind w:left="5580" w:hanging="540"/>
        <w:jc w:val="right"/>
        <w:rPr>
          <w:sz w:val="28"/>
          <w:szCs w:val="28"/>
          <w:lang w:eastAsia="zh-CN"/>
        </w:rPr>
      </w:pPr>
      <w:r w:rsidRPr="00EC3AA7">
        <w:rPr>
          <w:sz w:val="28"/>
          <w:szCs w:val="28"/>
          <w:lang w:eastAsia="zh-CN"/>
        </w:rPr>
        <w:t xml:space="preserve">Приложение №1 </w:t>
      </w:r>
    </w:p>
    <w:p w:rsidR="00EC3AA7" w:rsidRDefault="00EC3AA7" w:rsidP="00EC3AA7">
      <w:pPr>
        <w:suppressAutoHyphens/>
        <w:ind w:left="5580" w:hanging="540"/>
        <w:jc w:val="right"/>
        <w:rPr>
          <w:sz w:val="28"/>
          <w:szCs w:val="28"/>
          <w:lang w:eastAsia="zh-CN"/>
        </w:rPr>
      </w:pPr>
    </w:p>
    <w:p w:rsidR="009E4B17" w:rsidRDefault="009E4B17" w:rsidP="00EC3AA7">
      <w:pPr>
        <w:suppressAutoHyphens/>
        <w:ind w:left="5580" w:hanging="540"/>
        <w:jc w:val="right"/>
        <w:rPr>
          <w:sz w:val="28"/>
          <w:szCs w:val="28"/>
          <w:lang w:eastAsia="zh-CN"/>
        </w:rPr>
      </w:pPr>
    </w:p>
    <w:p w:rsidR="009E4B17" w:rsidRDefault="009E4B17" w:rsidP="00EC3AA7">
      <w:pPr>
        <w:suppressAutoHyphens/>
        <w:ind w:left="5580" w:hanging="540"/>
        <w:jc w:val="right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suppressAutoHyphens/>
        <w:ind w:left="5580" w:hanging="540"/>
        <w:jc w:val="right"/>
        <w:rPr>
          <w:sz w:val="24"/>
          <w:szCs w:val="24"/>
          <w:lang w:eastAsia="zh-CN"/>
        </w:rPr>
      </w:pPr>
      <w:r w:rsidRPr="00EC3AA7">
        <w:rPr>
          <w:sz w:val="24"/>
          <w:szCs w:val="24"/>
          <w:lang w:eastAsia="zh-CN"/>
        </w:rPr>
        <w:t xml:space="preserve">УТВЕРЖДЕНО </w:t>
      </w:r>
    </w:p>
    <w:p w:rsidR="00EC3AA7" w:rsidRPr="00EC3AA7" w:rsidRDefault="00EC3AA7" w:rsidP="00EC3AA7">
      <w:pPr>
        <w:suppressAutoHyphens/>
        <w:rPr>
          <w:sz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</w:t>
      </w:r>
      <w:r w:rsidRPr="00EC3AA7">
        <w:rPr>
          <w:sz w:val="28"/>
          <w:szCs w:val="28"/>
          <w:lang w:eastAsia="zh-CN"/>
        </w:rPr>
        <w:t>постановлен</w:t>
      </w:r>
      <w:r>
        <w:rPr>
          <w:sz w:val="28"/>
          <w:szCs w:val="28"/>
          <w:lang w:eastAsia="zh-CN"/>
        </w:rPr>
        <w:t>ием</w:t>
      </w:r>
      <w:r w:rsidRPr="00EC3AA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   </w:t>
      </w:r>
      <w:r w:rsidRPr="00EC3AA7">
        <w:rPr>
          <w:sz w:val="28"/>
          <w:szCs w:val="28"/>
          <w:lang w:eastAsia="zh-CN"/>
        </w:rPr>
        <w:t>администрации</w:t>
      </w:r>
    </w:p>
    <w:p w:rsidR="00EC3AA7" w:rsidRPr="00EC3AA7" w:rsidRDefault="00EC3AA7" w:rsidP="00EC3AA7">
      <w:pPr>
        <w:suppressAutoHyphens/>
        <w:rPr>
          <w:sz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Кировского муниципального </w:t>
      </w:r>
      <w:r w:rsidRPr="00EC3AA7">
        <w:rPr>
          <w:sz w:val="28"/>
          <w:szCs w:val="28"/>
          <w:lang w:eastAsia="zh-CN"/>
        </w:rPr>
        <w:t>района</w:t>
      </w:r>
    </w:p>
    <w:p w:rsidR="00EC3AA7" w:rsidRPr="00EC3AA7" w:rsidRDefault="007A310A" w:rsidP="007A310A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</w:t>
      </w:r>
      <w:r w:rsidR="00EC3AA7" w:rsidRPr="00EC3AA7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 xml:space="preserve"> «   »</w:t>
      </w:r>
      <w:r w:rsidR="00124375">
        <w:rPr>
          <w:sz w:val="28"/>
          <w:szCs w:val="28"/>
          <w:lang w:eastAsia="zh-CN"/>
        </w:rPr>
        <w:t>___________2020г.</w:t>
      </w:r>
      <w:r>
        <w:rPr>
          <w:sz w:val="28"/>
          <w:szCs w:val="28"/>
          <w:lang w:eastAsia="zh-CN"/>
        </w:rPr>
        <w:t xml:space="preserve">    </w:t>
      </w:r>
      <w:r w:rsidR="00124375">
        <w:rPr>
          <w:sz w:val="28"/>
          <w:szCs w:val="28"/>
          <w:lang w:eastAsia="zh-CN"/>
        </w:rPr>
        <w:t>№____</w:t>
      </w:r>
    </w:p>
    <w:p w:rsidR="00EC3AA7" w:rsidRPr="00EC3AA7" w:rsidRDefault="00EC3AA7" w:rsidP="00EC3AA7">
      <w:pPr>
        <w:suppressAutoHyphens/>
        <w:ind w:left="5580" w:hanging="540"/>
        <w:jc w:val="right"/>
        <w:rPr>
          <w:sz w:val="28"/>
          <w:lang w:eastAsia="zh-CN"/>
        </w:rPr>
      </w:pPr>
    </w:p>
    <w:p w:rsidR="00EC3AA7" w:rsidRPr="00EC3AA7" w:rsidRDefault="00EC3AA7" w:rsidP="00EC3AA7">
      <w:pPr>
        <w:suppressAutoHyphens/>
        <w:jc w:val="center"/>
        <w:rPr>
          <w:b/>
          <w:sz w:val="28"/>
          <w:szCs w:val="28"/>
          <w:lang w:eastAsia="zh-CN"/>
        </w:rPr>
      </w:pPr>
      <w:r w:rsidRPr="00EC3AA7">
        <w:rPr>
          <w:b/>
          <w:sz w:val="28"/>
          <w:szCs w:val="28"/>
          <w:lang w:eastAsia="zh-CN"/>
        </w:rPr>
        <w:t xml:space="preserve">Ключевые показатели эффективности </w:t>
      </w:r>
      <w:proofErr w:type="gramStart"/>
      <w:r w:rsidRPr="00EC3AA7">
        <w:rPr>
          <w:b/>
          <w:sz w:val="28"/>
          <w:szCs w:val="28"/>
          <w:lang w:eastAsia="zh-CN"/>
        </w:rPr>
        <w:t>антимонопольного</w:t>
      </w:r>
      <w:proofErr w:type="gramEnd"/>
      <w:r w:rsidRPr="00EC3AA7">
        <w:rPr>
          <w:b/>
          <w:sz w:val="28"/>
          <w:szCs w:val="28"/>
          <w:lang w:eastAsia="zh-CN"/>
        </w:rPr>
        <w:t xml:space="preserve"> </w:t>
      </w:r>
      <w:proofErr w:type="spellStart"/>
      <w:r w:rsidRPr="00EC3AA7">
        <w:rPr>
          <w:b/>
          <w:sz w:val="28"/>
          <w:szCs w:val="28"/>
          <w:lang w:eastAsia="zh-CN"/>
        </w:rPr>
        <w:t>комплаенса</w:t>
      </w:r>
      <w:proofErr w:type="spellEnd"/>
    </w:p>
    <w:p w:rsidR="00EC3AA7" w:rsidRPr="00EC3AA7" w:rsidRDefault="00EC3AA7" w:rsidP="00EC3AA7">
      <w:pPr>
        <w:suppressAutoHyphens/>
        <w:jc w:val="center"/>
        <w:rPr>
          <w:b/>
          <w:sz w:val="28"/>
          <w:szCs w:val="28"/>
          <w:lang w:eastAsia="ar-SA"/>
        </w:rPr>
      </w:pPr>
      <w:r w:rsidRPr="00EC3AA7">
        <w:rPr>
          <w:b/>
          <w:sz w:val="28"/>
          <w:szCs w:val="28"/>
          <w:lang w:eastAsia="ar-SA"/>
        </w:rPr>
        <w:t xml:space="preserve">администрации </w:t>
      </w:r>
      <w:r>
        <w:rPr>
          <w:b/>
          <w:sz w:val="28"/>
          <w:szCs w:val="28"/>
          <w:lang w:eastAsia="ar-SA"/>
        </w:rPr>
        <w:t>Кировского</w:t>
      </w:r>
      <w:r w:rsidRPr="00EC3AA7">
        <w:rPr>
          <w:b/>
          <w:sz w:val="28"/>
          <w:szCs w:val="28"/>
          <w:lang w:eastAsia="ar-SA"/>
        </w:rPr>
        <w:t xml:space="preserve"> муниципального района </w:t>
      </w:r>
    </w:p>
    <w:p w:rsidR="00EC3AA7" w:rsidRPr="00EC3AA7" w:rsidRDefault="00EC3AA7" w:rsidP="00EC3AA7">
      <w:pPr>
        <w:suppressAutoHyphens/>
        <w:jc w:val="center"/>
        <w:rPr>
          <w:rFonts w:ascii="Calibri" w:hAnsi="Calibri"/>
          <w:sz w:val="28"/>
          <w:szCs w:val="28"/>
          <w:lang w:eastAsia="zh-CN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371"/>
        <w:gridCol w:w="1701"/>
      </w:tblGrid>
      <w:tr w:rsidR="00EC3AA7" w:rsidRPr="00EC3AA7" w:rsidTr="00B12E00">
        <w:trPr>
          <w:trHeight w:hRule="exact" w:val="5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after="6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№ </w:t>
            </w:r>
            <w:proofErr w:type="gramStart"/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п</w:t>
            </w:r>
            <w:proofErr w:type="gramEnd"/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  <w:lang w:eastAsia="zh-CN"/>
              </w:rPr>
            </w:pPr>
          </w:p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ind w:right="1407"/>
              <w:jc w:val="center"/>
              <w:rPr>
                <w:sz w:val="28"/>
                <w:szCs w:val="28"/>
                <w:lang w:eastAsia="zh-CN"/>
              </w:rPr>
            </w:pPr>
            <w:r w:rsidRPr="00EC3AA7">
              <w:rPr>
                <w:sz w:val="28"/>
                <w:szCs w:val="28"/>
                <w:lang w:eastAsia="zh-CN"/>
              </w:rPr>
              <w:t>Ключевые показатели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Значение показателя</w:t>
            </w:r>
          </w:p>
        </w:tc>
      </w:tr>
      <w:tr w:rsidR="00EC3AA7" w:rsidRPr="00EC3AA7" w:rsidTr="00B12E00">
        <w:trPr>
          <w:trHeight w:hRule="exact"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after="60" w:line="240" w:lineRule="exac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C3AA7">
              <w:rPr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EC3AA7">
              <w:rPr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C3AA7">
              <w:rPr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3</w:t>
            </w:r>
          </w:p>
        </w:tc>
      </w:tr>
      <w:tr w:rsidR="00EC3AA7" w:rsidRPr="00EC3AA7" w:rsidTr="00B12E00">
        <w:trPr>
          <w:trHeight w:hRule="exact" w:val="12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98" w:lineRule="exact"/>
              <w:ind w:left="132" w:right="132"/>
              <w:jc w:val="both"/>
              <w:rPr>
                <w:sz w:val="28"/>
                <w:szCs w:val="28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Доля проектов нормативных правовых актов 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Кировского</w:t>
            </w: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муниципального района, в которых выявлены риски нарушения антимонопольного законодательства.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tabs>
                <w:tab w:val="left" w:pos="149"/>
              </w:tabs>
              <w:suppressAutoHyphens/>
              <w:spacing w:line="298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Не более 10%</w:t>
            </w:r>
          </w:p>
        </w:tc>
      </w:tr>
      <w:tr w:rsidR="00EC3AA7" w:rsidRPr="00EC3AA7" w:rsidTr="00B12E00">
        <w:trPr>
          <w:trHeight w:hRule="exact" w:val="13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98" w:lineRule="exact"/>
              <w:ind w:left="132" w:right="132"/>
              <w:jc w:val="both"/>
              <w:rPr>
                <w:sz w:val="28"/>
                <w:szCs w:val="28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Доля нормативных правовых актов администрации Кировского муниципального района, в которых выявлены риски нарушения антимонопольного законодательства.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tabs>
                <w:tab w:val="left" w:pos="149"/>
              </w:tabs>
              <w:suppressAutoHyphens/>
              <w:spacing w:line="298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Не более 10%</w:t>
            </w:r>
          </w:p>
        </w:tc>
      </w:tr>
      <w:tr w:rsidR="00EC3AA7" w:rsidRPr="00EC3AA7" w:rsidTr="00B12E00">
        <w:trPr>
          <w:trHeight w:hRule="exact" w:val="12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suppressAutoHyphens/>
              <w:spacing w:line="298" w:lineRule="exact"/>
              <w:ind w:left="132" w:right="132"/>
              <w:jc w:val="both"/>
              <w:rPr>
                <w:sz w:val="28"/>
                <w:szCs w:val="28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Коэффициент снижения количества нарушений антимонопольного законодательства со стороны администрации Кировского муниципального района (по сравнению с предыдущим годом).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AA7" w:rsidRPr="00EC3AA7" w:rsidRDefault="00EC3AA7" w:rsidP="00EC3AA7">
            <w:pPr>
              <w:widowControl w:val="0"/>
              <w:tabs>
                <w:tab w:val="left" w:pos="274"/>
              </w:tabs>
              <w:suppressAutoHyphens/>
              <w:spacing w:line="298" w:lineRule="exact"/>
              <w:ind w:left="12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EC3AA7">
              <w:rPr>
                <w:color w:val="000000"/>
                <w:sz w:val="28"/>
                <w:szCs w:val="28"/>
                <w:shd w:val="clear" w:color="auto" w:fill="FFFFFF"/>
                <w:lang w:eastAsia="zh-CN"/>
              </w:rPr>
              <w:t>50%</w:t>
            </w:r>
          </w:p>
        </w:tc>
      </w:tr>
    </w:tbl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3D02CD" w:rsidRDefault="003D02CD" w:rsidP="00EC3AA7">
      <w:pPr>
        <w:suppressAutoHyphens/>
        <w:ind w:left="5580" w:hanging="540"/>
        <w:jc w:val="right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suppressAutoHyphens/>
        <w:ind w:left="5580" w:hanging="540"/>
        <w:jc w:val="right"/>
        <w:rPr>
          <w:sz w:val="28"/>
          <w:lang w:eastAsia="zh-CN"/>
        </w:rPr>
      </w:pPr>
      <w:r w:rsidRPr="00EC3AA7">
        <w:rPr>
          <w:sz w:val="28"/>
          <w:szCs w:val="28"/>
          <w:lang w:eastAsia="zh-CN"/>
        </w:rPr>
        <w:t xml:space="preserve">Приложение №2 </w:t>
      </w:r>
    </w:p>
    <w:p w:rsidR="00EC3AA7" w:rsidRPr="00EC3AA7" w:rsidRDefault="00EC3AA7" w:rsidP="00EC3AA7">
      <w:pPr>
        <w:suppressAutoHyphens/>
        <w:ind w:left="5103" w:hanging="256"/>
        <w:rPr>
          <w:sz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Pr="00EC3AA7">
        <w:rPr>
          <w:sz w:val="28"/>
          <w:szCs w:val="28"/>
          <w:lang w:eastAsia="zh-CN"/>
        </w:rPr>
        <w:t>к постановлению</w:t>
      </w:r>
      <w:r>
        <w:rPr>
          <w:sz w:val="28"/>
          <w:szCs w:val="28"/>
          <w:lang w:eastAsia="zh-CN"/>
        </w:rPr>
        <w:t xml:space="preserve"> а</w:t>
      </w:r>
      <w:r w:rsidRPr="00EC3AA7">
        <w:rPr>
          <w:sz w:val="28"/>
          <w:szCs w:val="28"/>
          <w:lang w:eastAsia="zh-CN"/>
        </w:rPr>
        <w:t>дминистрации</w:t>
      </w:r>
      <w:r>
        <w:rPr>
          <w:sz w:val="28"/>
          <w:szCs w:val="28"/>
          <w:lang w:eastAsia="zh-CN"/>
        </w:rPr>
        <w:t xml:space="preserve">  </w:t>
      </w:r>
      <w:r w:rsidR="00F024FC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>Кировского       муниципального р</w:t>
      </w:r>
      <w:r w:rsidRPr="00EC3AA7">
        <w:rPr>
          <w:sz w:val="28"/>
          <w:szCs w:val="28"/>
          <w:lang w:eastAsia="zh-CN"/>
        </w:rPr>
        <w:t>айона</w:t>
      </w:r>
    </w:p>
    <w:p w:rsidR="00EC3AA7" w:rsidRPr="00EC3AA7" w:rsidRDefault="00EC3AA7" w:rsidP="00EC3A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EC3AA7" w:rsidRPr="00EC3AA7" w:rsidRDefault="00EC3AA7" w:rsidP="00EC3AA7">
      <w:pPr>
        <w:suppressAutoHyphens/>
        <w:jc w:val="center"/>
        <w:rPr>
          <w:b/>
          <w:sz w:val="28"/>
          <w:szCs w:val="28"/>
          <w:lang w:eastAsia="zh-CN"/>
        </w:rPr>
      </w:pPr>
      <w:r w:rsidRPr="00EC3AA7">
        <w:rPr>
          <w:b/>
          <w:sz w:val="28"/>
          <w:szCs w:val="28"/>
          <w:lang w:eastAsia="zh-CN"/>
        </w:rPr>
        <w:t xml:space="preserve">МЕТОДИКА </w:t>
      </w:r>
    </w:p>
    <w:p w:rsidR="00EC3AA7" w:rsidRPr="00EC3AA7" w:rsidRDefault="00EC3AA7" w:rsidP="00EC3AA7">
      <w:pPr>
        <w:suppressAutoHyphens/>
        <w:jc w:val="center"/>
        <w:rPr>
          <w:b/>
          <w:sz w:val="28"/>
          <w:szCs w:val="28"/>
          <w:lang w:eastAsia="ar-SA"/>
        </w:rPr>
      </w:pPr>
      <w:r w:rsidRPr="00EC3AA7">
        <w:rPr>
          <w:b/>
          <w:sz w:val="28"/>
          <w:szCs w:val="28"/>
          <w:lang w:eastAsia="zh-CN"/>
        </w:rPr>
        <w:t xml:space="preserve">расчета ключевых показателей эффективности антимонопольного </w:t>
      </w:r>
      <w:proofErr w:type="spellStart"/>
      <w:r w:rsidRPr="00EC3AA7">
        <w:rPr>
          <w:b/>
          <w:sz w:val="28"/>
          <w:szCs w:val="28"/>
          <w:lang w:eastAsia="zh-CN"/>
        </w:rPr>
        <w:t>комплаенса</w:t>
      </w:r>
      <w:proofErr w:type="spellEnd"/>
      <w:r w:rsidRPr="00EC3AA7">
        <w:rPr>
          <w:b/>
          <w:sz w:val="28"/>
          <w:szCs w:val="28"/>
          <w:lang w:eastAsia="zh-CN"/>
        </w:rPr>
        <w:t xml:space="preserve"> </w:t>
      </w:r>
      <w:r w:rsidRPr="00EC3AA7">
        <w:rPr>
          <w:b/>
          <w:sz w:val="28"/>
          <w:szCs w:val="28"/>
          <w:lang w:eastAsia="ar-SA"/>
        </w:rPr>
        <w:t xml:space="preserve">администрации </w:t>
      </w:r>
      <w:r w:rsidR="00F024FC" w:rsidRPr="00F024FC">
        <w:rPr>
          <w:b/>
          <w:sz w:val="28"/>
          <w:szCs w:val="28"/>
          <w:lang w:eastAsia="ar-SA"/>
        </w:rPr>
        <w:t>Кировского</w:t>
      </w:r>
      <w:r w:rsidRPr="00EC3AA7">
        <w:rPr>
          <w:b/>
          <w:sz w:val="28"/>
          <w:szCs w:val="28"/>
          <w:lang w:eastAsia="ar-SA"/>
        </w:rPr>
        <w:t xml:space="preserve"> муниципального района </w:t>
      </w:r>
    </w:p>
    <w:p w:rsidR="00EC3AA7" w:rsidRPr="00EC3AA7" w:rsidRDefault="00EC3AA7" w:rsidP="00EC3AA7">
      <w:pPr>
        <w:suppressAutoHyphens/>
        <w:jc w:val="center"/>
        <w:rPr>
          <w:sz w:val="28"/>
          <w:szCs w:val="28"/>
          <w:lang w:eastAsia="ar-SA"/>
        </w:rPr>
      </w:pP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администрации </w:t>
      </w:r>
      <w:r w:rsidR="00F024FC" w:rsidRPr="00F024FC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 (далее - Методика) разработана в соответствии с распоряжением Правительства Российской Федерации от 18 октября 2018 г.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рекомендации), постановлением администрации </w:t>
      </w:r>
      <w:r w:rsidR="00F024FC" w:rsidRPr="00F024FC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 </w:t>
      </w:r>
      <w:r w:rsidR="00F024FC">
        <w:rPr>
          <w:sz w:val="28"/>
          <w:szCs w:val="28"/>
          <w:lang w:eastAsia="zh-CN"/>
        </w:rPr>
        <w:t>14</w:t>
      </w:r>
      <w:r w:rsidRPr="00EC3AA7">
        <w:rPr>
          <w:sz w:val="28"/>
          <w:szCs w:val="28"/>
          <w:lang w:eastAsia="zh-CN"/>
        </w:rPr>
        <w:t xml:space="preserve"> </w:t>
      </w:r>
      <w:r w:rsidR="00F024FC">
        <w:rPr>
          <w:sz w:val="28"/>
          <w:szCs w:val="28"/>
          <w:lang w:eastAsia="zh-CN"/>
        </w:rPr>
        <w:t>мая</w:t>
      </w:r>
      <w:r w:rsidRPr="00EC3AA7">
        <w:rPr>
          <w:sz w:val="28"/>
          <w:szCs w:val="28"/>
          <w:lang w:eastAsia="zh-CN"/>
        </w:rPr>
        <w:t xml:space="preserve"> 2020 г. № </w:t>
      </w:r>
      <w:r w:rsidR="00F024FC">
        <w:rPr>
          <w:sz w:val="28"/>
          <w:szCs w:val="28"/>
          <w:lang w:eastAsia="zh-CN"/>
        </w:rPr>
        <w:t>143</w:t>
      </w:r>
      <w:proofErr w:type="gramEnd"/>
      <w:r w:rsidRPr="00EC3AA7">
        <w:rPr>
          <w:sz w:val="28"/>
          <w:szCs w:val="28"/>
          <w:lang w:eastAsia="zh-CN"/>
        </w:rPr>
        <w:t xml:space="preserve"> 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C3AA7">
        <w:rPr>
          <w:sz w:val="28"/>
          <w:szCs w:val="28"/>
          <w:lang w:eastAsia="zh-CN"/>
        </w:rPr>
        <w:t>комплаенса</w:t>
      </w:r>
      <w:proofErr w:type="spellEnd"/>
      <w:r w:rsidRPr="00EC3AA7">
        <w:rPr>
          <w:sz w:val="28"/>
          <w:szCs w:val="28"/>
          <w:lang w:eastAsia="zh-CN"/>
        </w:rPr>
        <w:t xml:space="preserve">) в администрации </w:t>
      </w:r>
      <w:r w:rsidR="00F024FC" w:rsidRPr="00F024FC">
        <w:rPr>
          <w:sz w:val="28"/>
          <w:szCs w:val="28"/>
          <w:lang w:eastAsia="zh-CN"/>
        </w:rPr>
        <w:t xml:space="preserve">Кировского </w:t>
      </w:r>
      <w:r w:rsidRPr="00EC3AA7">
        <w:rPr>
          <w:sz w:val="28"/>
          <w:szCs w:val="28"/>
          <w:lang w:eastAsia="zh-CN"/>
        </w:rPr>
        <w:t xml:space="preserve">муниципального района» </w:t>
      </w: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(далее – постановление № </w:t>
      </w:r>
      <w:r w:rsidR="00F024FC">
        <w:rPr>
          <w:rFonts w:eastAsia="Calibri"/>
          <w:color w:val="000000"/>
          <w:sz w:val="28"/>
          <w:szCs w:val="28"/>
          <w:lang w:eastAsia="en-US"/>
        </w:rPr>
        <w:t>143</w:t>
      </w:r>
      <w:r w:rsidRPr="00EC3AA7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1.2. В целях оценки эффективности функционирования антимонопольного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в администрации </w:t>
      </w:r>
      <w:r w:rsidR="00F024FC" w:rsidRPr="00F024FC">
        <w:rPr>
          <w:rFonts w:eastAsia="Calibri"/>
          <w:color w:val="000000"/>
          <w:sz w:val="28"/>
          <w:szCs w:val="28"/>
          <w:lang w:eastAsia="en-US"/>
        </w:rPr>
        <w:t xml:space="preserve">Кировского </w:t>
      </w: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муниципального района (далее – администрация) в соответствии с Методикой рассчитываются ключевые показатели эффективности антимонопольного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2. Методика расчета ключевых показателей эффективности антимонопольного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2.1. Ключевыми показателями эффективности 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>антимонопольного</w:t>
      </w:r>
      <w:proofErr w:type="gram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в администрации являются: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- доля проектов нормативных правовых актов местной администрации, в которых выявлены риски нарушения антимонопольного законодательства;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- доля нормативных правовых актов местной администрации, в которых выявлены риски нарушения антимонопольного законодательства;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- коэффициент снижения количества нарушений антимонопольного законодательства со стороны администрации (по </w:t>
      </w:r>
      <w:r w:rsidRPr="00EC3AA7">
        <w:rPr>
          <w:rFonts w:eastAsia="Calibri"/>
          <w:sz w:val="28"/>
          <w:szCs w:val="28"/>
          <w:lang w:eastAsia="en-US"/>
        </w:rPr>
        <w:t>сравнению с предыдущим годом).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2.2. Доля проектов нормативных правовых актов администрации, в которых выявлены риски нарушения 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>антимонопольного</w:t>
      </w:r>
      <w:proofErr w:type="gram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законодательства, рассчитывается по формуле:</w:t>
      </w:r>
    </w:p>
    <w:p w:rsidR="00EC3AA7" w:rsidRPr="00EC3AA7" w:rsidRDefault="00EC3AA7" w:rsidP="00EC3AA7">
      <w:pPr>
        <w:suppressAutoHyphens/>
        <w:spacing w:after="100" w:afterAutospacing="1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Дпнпа</w:t>
      </w:r>
      <w:proofErr w:type="spellEnd"/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color w:val="000000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ог</m:t>
                </m:r>
              </m:sub>
            </m:sSub>
          </m:den>
        </m:f>
      </m:oMath>
      <w:r w:rsidRPr="00EC3AA7">
        <w:rPr>
          <w:rFonts w:eastAsia="Calibri"/>
          <w:color w:val="000000"/>
          <w:sz w:val="28"/>
          <w:szCs w:val="28"/>
          <w:lang w:eastAsia="en-US"/>
        </w:rPr>
        <w:t>, где: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lastRenderedPageBreak/>
        <w:t>Дпнпа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– доля проектов нормативных правовых актов администрации, в которых антимонопольным органом выявлены риски нарушения антимонопольного законодательства;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Кпнпа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– количество проектов нормативных правовых актов администрации, в которых антимонопольным органом выявлены риски нарушения антимонопольного законодательства (в отчетном году);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КНог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году).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2.3. Доля нормативных правовых актов администрации, в которых выявлены риски нарушения 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>антимонопольного</w:t>
      </w:r>
      <w:proofErr w:type="gram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законодательства, рассчитывается по формуле:</w:t>
      </w:r>
    </w:p>
    <w:p w:rsidR="00EC3AA7" w:rsidRPr="00EC3AA7" w:rsidRDefault="00EC3AA7" w:rsidP="00EC3AA7">
      <w:pPr>
        <w:suppressAutoHyphens/>
        <w:spacing w:after="100" w:afterAutospacing="1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Днпа</w:t>
      </w:r>
      <w:proofErr w:type="spellEnd"/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color w:val="000000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ог</m:t>
                </m:r>
              </m:sub>
            </m:sSub>
          </m:den>
        </m:f>
      </m:oMath>
      <w:r w:rsidRPr="00EC3AA7">
        <w:rPr>
          <w:rFonts w:eastAsia="Calibri"/>
          <w:color w:val="000000"/>
          <w:sz w:val="28"/>
          <w:szCs w:val="28"/>
          <w:lang w:eastAsia="en-US"/>
        </w:rPr>
        <w:t>, где: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Днпа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Кнпа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году);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КНог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году).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2.4. Коэффициент снижения количества нарушений антимонопольного законодательства со стороны администрации (по сравнению с предыдущим годом) рассчитывается по формуле:</w:t>
      </w:r>
    </w:p>
    <w:p w:rsidR="00EC3AA7" w:rsidRPr="00EC3AA7" w:rsidRDefault="00EC3AA7" w:rsidP="00EC3AA7">
      <w:pPr>
        <w:suppressAutoHyphens/>
        <w:spacing w:after="100" w:afterAutospacing="1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КСН =</w:t>
      </w:r>
      <m:oMath>
        <m:f>
          <m:fPr>
            <m:ctrlPr>
              <w:rPr>
                <w:rFonts w:ascii="Cambria Math" w:eastAsia="Calibri" w:hAnsi="Cambria Math"/>
                <w:color w:val="000000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Cs w:val="28"/>
                    <w:lang w:eastAsia="en-US"/>
                  </w:rPr>
                  <m:t>КН пг</m:t>
                </m:r>
              </m:e>
              <m:sub/>
            </m:sSub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Cs w:val="28"/>
                <w:lang w:eastAsia="en-US"/>
              </w:rPr>
              <m:t>КНог</m:t>
            </m:r>
          </m:den>
        </m:f>
      </m:oMath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, где: 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КСН – коэффициент снижения количества нарушений антимонопольного законодательства со стороны администрации по сравнению с предыдущим годом;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КНп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>г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>–</w:t>
      </w:r>
      <w:proofErr w:type="gram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количество нарушений антимонопольного законодательства со стороны администрации в предыдущем году;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КНог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– количество нарушений антимонопольного законодательства со стороны администрации в отчетном году.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При расчете 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>коэффициента снижения количества нарушений антимонопольного законодательства</w:t>
      </w:r>
      <w:proofErr w:type="gram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- возбужденные антимонопольным органом в отношении администрации антимонопольные дела;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</w:t>
      </w:r>
      <w:r w:rsidRPr="00EC3AA7">
        <w:rPr>
          <w:rFonts w:eastAsia="Calibri"/>
          <w:color w:val="000000"/>
          <w:sz w:val="28"/>
          <w:szCs w:val="28"/>
          <w:lang w:eastAsia="en-US"/>
        </w:rPr>
        <w:lastRenderedPageBreak/>
        <w:t>возникновению такого нарушения, и о принятии мер по устранению последствий такого нарушения;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-направленные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3. Оценка значений ключевых показателей эффективности 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>антимонопольного</w:t>
      </w:r>
      <w:proofErr w:type="gram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>3.1. Оценка значений ключевых показателей эффективности «доля проектов нормативных правовых актов администрации, в которых выявлены риски нарушения антимонопольного законодательства» и «доля нормативных правовых актов администрации, в которых выявлены риски нарушения антимонопольного законодательства».</w:t>
      </w:r>
    </w:p>
    <w:p w:rsidR="00F66846" w:rsidRPr="00EC3AA7" w:rsidRDefault="00EC3AA7" w:rsidP="00EC3AA7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Оценка вышеуказанных значений ключевых показателей эффективности направлена на понимание эффективности мероприятий </w:t>
      </w:r>
      <w:proofErr w:type="gramStart"/>
      <w:r w:rsidRPr="00EC3AA7">
        <w:rPr>
          <w:rFonts w:eastAsia="Calibri"/>
          <w:color w:val="000000"/>
          <w:sz w:val="28"/>
          <w:szCs w:val="28"/>
          <w:lang w:eastAsia="en-US"/>
        </w:rPr>
        <w:t>антимонопольного</w:t>
      </w:r>
      <w:proofErr w:type="gram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, предусмотренных </w:t>
      </w:r>
      <w:r w:rsidR="00291DA1">
        <w:rPr>
          <w:rFonts w:eastAsia="Calibri"/>
          <w:color w:val="000000"/>
          <w:sz w:val="28"/>
          <w:szCs w:val="28"/>
          <w:lang w:eastAsia="en-US"/>
        </w:rPr>
        <w:t>пунктом  1.2</w:t>
      </w: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Методических рекомендаций, а также пунктом </w:t>
      </w:r>
      <w:r w:rsidRPr="00EC3AA7">
        <w:rPr>
          <w:rFonts w:eastAsia="Calibri"/>
          <w:sz w:val="28"/>
          <w:szCs w:val="28"/>
          <w:lang w:eastAsia="en-US"/>
        </w:rPr>
        <w:t xml:space="preserve">3.2. </w:t>
      </w: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) в администрации </w:t>
      </w:r>
      <w:r w:rsidR="002B0FA4" w:rsidRPr="002B0FA4">
        <w:rPr>
          <w:rFonts w:eastAsia="Calibri"/>
          <w:color w:val="000000"/>
          <w:sz w:val="28"/>
          <w:szCs w:val="28"/>
          <w:lang w:eastAsia="en-US"/>
        </w:rPr>
        <w:t xml:space="preserve">Кировского </w:t>
      </w: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муниципального района, утвержденного постановлением № </w:t>
      </w:r>
      <w:r w:rsidR="002B0FA4">
        <w:rPr>
          <w:rFonts w:eastAsia="Calibri"/>
          <w:color w:val="000000"/>
          <w:sz w:val="28"/>
          <w:szCs w:val="28"/>
          <w:lang w:eastAsia="en-US"/>
        </w:rPr>
        <w:t>143</w:t>
      </w:r>
      <w:r w:rsidR="00CF14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C3AA7" w:rsidRPr="00EC3AA7" w:rsidRDefault="00EC3AA7" w:rsidP="00EC3AA7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администрации, в отношении которых антимонопольным органом выявлены нарушения антимонопольного законодательства (то есть, низкое значение знаменателя). Таким образом, значение ключевых показателей эффективности будет тем выше, чем эффективней данные мероприятия антимонопольного </w:t>
      </w:r>
      <w:proofErr w:type="spellStart"/>
      <w:r w:rsidRPr="00EC3AA7">
        <w:rPr>
          <w:rFonts w:eastAsia="Calibri"/>
          <w:color w:val="000000"/>
          <w:sz w:val="28"/>
          <w:szCs w:val="28"/>
          <w:lang w:eastAsia="en-US"/>
        </w:rPr>
        <w:t>комплаенса</w:t>
      </w:r>
      <w:proofErr w:type="spellEnd"/>
      <w:r w:rsidRPr="00EC3AA7">
        <w:rPr>
          <w:rFonts w:eastAsia="Calibri"/>
          <w:color w:val="000000"/>
          <w:sz w:val="28"/>
          <w:szCs w:val="28"/>
          <w:lang w:eastAsia="en-US"/>
        </w:rPr>
        <w:t xml:space="preserve"> будут осуществляться администрацией. И,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ключевых показателей эффективности будут свидетельствовать о низкой эффективности данных мероприятий.</w:t>
      </w:r>
    </w:p>
    <w:p w:rsidR="00EC3AA7" w:rsidRPr="00EC3AA7" w:rsidRDefault="00EC3AA7" w:rsidP="00EC3AA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C3AA7">
        <w:rPr>
          <w:sz w:val="28"/>
          <w:szCs w:val="28"/>
          <w:lang w:eastAsia="ar-SA"/>
        </w:rPr>
        <w:t>3.2. Оценка значения ключевого показателя эффективности «коэффициент снижения количества нарушений антимонопольного законодательства со стороны администрации (по сравнению с предыдущим годом)».</w:t>
      </w:r>
    </w:p>
    <w:p w:rsidR="00EC3AA7" w:rsidRPr="00EC3AA7" w:rsidRDefault="00EC3AA7" w:rsidP="00EC3AA7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EC3AA7">
        <w:rPr>
          <w:sz w:val="28"/>
          <w:szCs w:val="28"/>
          <w:lang w:eastAsia="ar-SA"/>
        </w:rPr>
        <w:t>Ключевой показатель эффективности «коэффициент снижения количества нарушений антимонопольного законодательства со стороны администрации (по сравнению с предыдущим годом)»</w:t>
      </w:r>
      <w:r w:rsidR="00CF1431">
        <w:rPr>
          <w:sz w:val="28"/>
          <w:szCs w:val="28"/>
          <w:lang w:eastAsia="ar-SA"/>
        </w:rPr>
        <w:t>,</w:t>
      </w:r>
      <w:r w:rsidRPr="00EC3AA7">
        <w:rPr>
          <w:sz w:val="28"/>
          <w:szCs w:val="28"/>
          <w:lang w:eastAsia="ar-SA"/>
        </w:rPr>
        <w:t xml:space="preserve"> взаимосвязан с ключевым показателем мероприятий, предусмотренным подпунктом «б» пункта 1 Национального плана развития конкуренции в Российской Федерации на 2018-2020 годы (далее – Национальный план), </w:t>
      </w:r>
      <w:r w:rsidR="00CF1431">
        <w:rPr>
          <w:sz w:val="28"/>
          <w:szCs w:val="28"/>
          <w:lang w:eastAsia="ar-SA"/>
        </w:rPr>
        <w:t xml:space="preserve"> </w:t>
      </w:r>
      <w:r w:rsidRPr="00EC3AA7">
        <w:rPr>
          <w:sz w:val="28"/>
          <w:szCs w:val="28"/>
          <w:lang w:eastAsia="ar-SA"/>
        </w:rPr>
        <w:t>утвержденным Указом Президента Российской</w:t>
      </w:r>
      <w:r w:rsidR="00CF1431">
        <w:rPr>
          <w:sz w:val="28"/>
          <w:szCs w:val="28"/>
          <w:lang w:eastAsia="ar-SA"/>
        </w:rPr>
        <w:t xml:space="preserve"> Федерации от 21 декабря 2017 года</w:t>
      </w:r>
      <w:r w:rsidRPr="00EC3AA7">
        <w:rPr>
          <w:sz w:val="28"/>
          <w:szCs w:val="28"/>
          <w:lang w:eastAsia="ar-SA"/>
        </w:rPr>
        <w:t xml:space="preserve"> №</w:t>
      </w:r>
      <w:r w:rsidR="00CF1431">
        <w:rPr>
          <w:sz w:val="28"/>
          <w:szCs w:val="28"/>
          <w:lang w:eastAsia="ar-SA"/>
        </w:rPr>
        <w:t xml:space="preserve"> </w:t>
      </w:r>
      <w:r w:rsidRPr="00EC3AA7">
        <w:rPr>
          <w:sz w:val="28"/>
          <w:szCs w:val="28"/>
          <w:lang w:eastAsia="ar-SA"/>
        </w:rPr>
        <w:t>618 «Об основных направлениях государственной по</w:t>
      </w:r>
      <w:r w:rsidR="00CF1431">
        <w:rPr>
          <w:sz w:val="28"/>
          <w:szCs w:val="28"/>
          <w:lang w:eastAsia="ar-SA"/>
        </w:rPr>
        <w:t xml:space="preserve">литики по развитию </w:t>
      </w:r>
      <w:r w:rsidR="00CF1431">
        <w:rPr>
          <w:sz w:val="28"/>
          <w:szCs w:val="28"/>
          <w:lang w:eastAsia="ar-SA"/>
        </w:rPr>
        <w:lastRenderedPageBreak/>
        <w:t>конкуренции»,</w:t>
      </w:r>
      <w:r w:rsidRPr="00EC3AA7">
        <w:rPr>
          <w:sz w:val="28"/>
          <w:szCs w:val="28"/>
          <w:lang w:eastAsia="ar-SA"/>
        </w:rPr>
        <w:t xml:space="preserve"> а</w:t>
      </w:r>
      <w:proofErr w:type="gramEnd"/>
      <w:r w:rsidRPr="00EC3AA7">
        <w:rPr>
          <w:sz w:val="28"/>
          <w:szCs w:val="28"/>
          <w:lang w:eastAsia="ar-SA"/>
        </w:rPr>
        <w:t xml:space="preserve"> именно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</w:t>
      </w:r>
      <w:r w:rsidR="0051372E">
        <w:rPr>
          <w:sz w:val="28"/>
          <w:szCs w:val="28"/>
          <w:lang w:eastAsia="ar-SA"/>
        </w:rPr>
        <w:t>7</w:t>
      </w:r>
      <w:r w:rsidRPr="00EC3AA7">
        <w:rPr>
          <w:sz w:val="28"/>
          <w:szCs w:val="28"/>
          <w:lang w:eastAsia="ar-SA"/>
        </w:rPr>
        <w:t xml:space="preserve"> годом».</w:t>
      </w:r>
    </w:p>
    <w:p w:rsidR="0051372E" w:rsidRDefault="00EC3AA7" w:rsidP="00EC3AA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C3AA7">
        <w:rPr>
          <w:sz w:val="28"/>
          <w:szCs w:val="28"/>
          <w:lang w:eastAsia="ar-SA"/>
        </w:rPr>
        <w:t>Ежегодная оценка значения ключевого показателя эффективности «коэффициент снижения количества нарушений антимонопольного законодательства со стороны администрации (по сравнению с предыдущим годом)» призвана</w:t>
      </w:r>
    </w:p>
    <w:p w:rsidR="00EC3AA7" w:rsidRPr="00EC3AA7" w:rsidRDefault="00EC3AA7" w:rsidP="00EC3AA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C3AA7">
        <w:rPr>
          <w:sz w:val="28"/>
          <w:szCs w:val="28"/>
          <w:lang w:eastAsia="ar-SA"/>
        </w:rPr>
        <w:t xml:space="preserve"> обеспечить понимание об эффективности функционирования антимонопольного </w:t>
      </w:r>
      <w:proofErr w:type="spellStart"/>
      <w:r w:rsidRPr="00EC3AA7">
        <w:rPr>
          <w:sz w:val="28"/>
          <w:szCs w:val="28"/>
          <w:lang w:eastAsia="ar-SA"/>
        </w:rPr>
        <w:t>комплаенса</w:t>
      </w:r>
      <w:proofErr w:type="spellEnd"/>
      <w:r w:rsidRPr="00EC3AA7">
        <w:rPr>
          <w:sz w:val="28"/>
          <w:szCs w:val="28"/>
          <w:lang w:eastAsia="ar-SA"/>
        </w:rPr>
        <w:t xml:space="preserve"> в администрации и о соответствии мероприятий антимонопольного </w:t>
      </w:r>
      <w:proofErr w:type="spellStart"/>
      <w:r w:rsidRPr="00EC3AA7">
        <w:rPr>
          <w:sz w:val="28"/>
          <w:szCs w:val="28"/>
          <w:lang w:eastAsia="ar-SA"/>
        </w:rPr>
        <w:t>комплаенса</w:t>
      </w:r>
      <w:proofErr w:type="spellEnd"/>
      <w:r w:rsidRPr="00EC3AA7">
        <w:rPr>
          <w:sz w:val="28"/>
          <w:szCs w:val="28"/>
          <w:lang w:eastAsia="ar-SA"/>
        </w:rPr>
        <w:t xml:space="preserve"> администрации направлениям совершенствования государственной политики по развитию конкуренции, установленных Национальным планом.</w:t>
      </w:r>
    </w:p>
    <w:p w:rsidR="00EC3AA7" w:rsidRPr="00EC3AA7" w:rsidRDefault="00EC3AA7" w:rsidP="00EC3AA7">
      <w:pPr>
        <w:suppressAutoHyphens/>
        <w:ind w:firstLine="709"/>
        <w:jc w:val="both"/>
        <w:rPr>
          <w:rFonts w:ascii="Calibri" w:hAnsi="Calibri"/>
          <w:color w:val="FF0000"/>
          <w:sz w:val="28"/>
          <w:szCs w:val="28"/>
          <w:lang w:eastAsia="zh-CN"/>
        </w:rPr>
      </w:pPr>
    </w:p>
    <w:p w:rsidR="00EC3AA7" w:rsidRPr="00EC3AA7" w:rsidRDefault="00EC3AA7" w:rsidP="00EC3AA7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lang w:eastAsia="zh-CN"/>
        </w:rPr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p w:rsidR="00EC3AA7" w:rsidRDefault="00EC3AA7">
      <w:pPr>
        <w:spacing w:after="200" w:line="276" w:lineRule="auto"/>
      </w:pPr>
    </w:p>
    <w:sectPr w:rsidR="00EC3AA7" w:rsidSect="001E1E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DED"/>
    <w:rsid w:val="000264BD"/>
    <w:rsid w:val="00036FBE"/>
    <w:rsid w:val="000613A9"/>
    <w:rsid w:val="00067A91"/>
    <w:rsid w:val="000D651C"/>
    <w:rsid w:val="000F3116"/>
    <w:rsid w:val="000F5631"/>
    <w:rsid w:val="0012119F"/>
    <w:rsid w:val="00124375"/>
    <w:rsid w:val="00153DED"/>
    <w:rsid w:val="001629DB"/>
    <w:rsid w:val="0016720D"/>
    <w:rsid w:val="001C1C84"/>
    <w:rsid w:val="001E1EC8"/>
    <w:rsid w:val="001F6FDB"/>
    <w:rsid w:val="00206C31"/>
    <w:rsid w:val="00211325"/>
    <w:rsid w:val="00211DCE"/>
    <w:rsid w:val="00214610"/>
    <w:rsid w:val="0023140E"/>
    <w:rsid w:val="00263742"/>
    <w:rsid w:val="002821FB"/>
    <w:rsid w:val="00286174"/>
    <w:rsid w:val="00291DA1"/>
    <w:rsid w:val="002B0FA4"/>
    <w:rsid w:val="002F325D"/>
    <w:rsid w:val="002F40AD"/>
    <w:rsid w:val="003039A9"/>
    <w:rsid w:val="0032050A"/>
    <w:rsid w:val="003364B5"/>
    <w:rsid w:val="003453BB"/>
    <w:rsid w:val="003575E0"/>
    <w:rsid w:val="00393DDF"/>
    <w:rsid w:val="00396634"/>
    <w:rsid w:val="003C70F6"/>
    <w:rsid w:val="003D02CD"/>
    <w:rsid w:val="003F306F"/>
    <w:rsid w:val="00402483"/>
    <w:rsid w:val="0047057F"/>
    <w:rsid w:val="004913A1"/>
    <w:rsid w:val="004A1575"/>
    <w:rsid w:val="004B5D58"/>
    <w:rsid w:val="0051372E"/>
    <w:rsid w:val="00533787"/>
    <w:rsid w:val="005537D3"/>
    <w:rsid w:val="00553BC7"/>
    <w:rsid w:val="00560CE6"/>
    <w:rsid w:val="0059343F"/>
    <w:rsid w:val="005B1CE1"/>
    <w:rsid w:val="005D711B"/>
    <w:rsid w:val="006026B2"/>
    <w:rsid w:val="00615809"/>
    <w:rsid w:val="0061666F"/>
    <w:rsid w:val="006172AA"/>
    <w:rsid w:val="006261FB"/>
    <w:rsid w:val="00695FA8"/>
    <w:rsid w:val="006971AD"/>
    <w:rsid w:val="006A4EE7"/>
    <w:rsid w:val="006D5628"/>
    <w:rsid w:val="006E045B"/>
    <w:rsid w:val="00711BE9"/>
    <w:rsid w:val="00743307"/>
    <w:rsid w:val="00772FD1"/>
    <w:rsid w:val="00780F27"/>
    <w:rsid w:val="00790109"/>
    <w:rsid w:val="007A310A"/>
    <w:rsid w:val="007B0915"/>
    <w:rsid w:val="007C3856"/>
    <w:rsid w:val="007F6285"/>
    <w:rsid w:val="00823414"/>
    <w:rsid w:val="008321FB"/>
    <w:rsid w:val="008757B9"/>
    <w:rsid w:val="008826D8"/>
    <w:rsid w:val="008B5CBC"/>
    <w:rsid w:val="008C16A9"/>
    <w:rsid w:val="008D0D2B"/>
    <w:rsid w:val="00904A63"/>
    <w:rsid w:val="00930CB2"/>
    <w:rsid w:val="00957F30"/>
    <w:rsid w:val="00962C57"/>
    <w:rsid w:val="0099165F"/>
    <w:rsid w:val="009A4497"/>
    <w:rsid w:val="009B58A3"/>
    <w:rsid w:val="009B6751"/>
    <w:rsid w:val="009E4B17"/>
    <w:rsid w:val="009E721C"/>
    <w:rsid w:val="009E726E"/>
    <w:rsid w:val="009F35DE"/>
    <w:rsid w:val="009F47AF"/>
    <w:rsid w:val="00A01F61"/>
    <w:rsid w:val="00A333A0"/>
    <w:rsid w:val="00A63DDC"/>
    <w:rsid w:val="00A65D4F"/>
    <w:rsid w:val="00AA6EF8"/>
    <w:rsid w:val="00AB5868"/>
    <w:rsid w:val="00AC32B9"/>
    <w:rsid w:val="00AE5316"/>
    <w:rsid w:val="00B04D02"/>
    <w:rsid w:val="00B174BF"/>
    <w:rsid w:val="00B17561"/>
    <w:rsid w:val="00B601BF"/>
    <w:rsid w:val="00B664B7"/>
    <w:rsid w:val="00B75832"/>
    <w:rsid w:val="00B92A8C"/>
    <w:rsid w:val="00BC66FC"/>
    <w:rsid w:val="00C103D6"/>
    <w:rsid w:val="00C53FFC"/>
    <w:rsid w:val="00C57A75"/>
    <w:rsid w:val="00CB215A"/>
    <w:rsid w:val="00CE1560"/>
    <w:rsid w:val="00CE669D"/>
    <w:rsid w:val="00CF1431"/>
    <w:rsid w:val="00CF418F"/>
    <w:rsid w:val="00D00C61"/>
    <w:rsid w:val="00D25F79"/>
    <w:rsid w:val="00D3418B"/>
    <w:rsid w:val="00D46F9F"/>
    <w:rsid w:val="00D627F1"/>
    <w:rsid w:val="00D82879"/>
    <w:rsid w:val="00DB20EC"/>
    <w:rsid w:val="00DB673B"/>
    <w:rsid w:val="00DC5E2D"/>
    <w:rsid w:val="00DF2DA5"/>
    <w:rsid w:val="00DF3645"/>
    <w:rsid w:val="00DF5D63"/>
    <w:rsid w:val="00E31F17"/>
    <w:rsid w:val="00E37EF2"/>
    <w:rsid w:val="00E6696F"/>
    <w:rsid w:val="00E703F9"/>
    <w:rsid w:val="00E8463E"/>
    <w:rsid w:val="00E85053"/>
    <w:rsid w:val="00E85930"/>
    <w:rsid w:val="00E9020D"/>
    <w:rsid w:val="00EA52D1"/>
    <w:rsid w:val="00EC3AA7"/>
    <w:rsid w:val="00EC5F82"/>
    <w:rsid w:val="00EC7C2D"/>
    <w:rsid w:val="00ED75EA"/>
    <w:rsid w:val="00EF18BC"/>
    <w:rsid w:val="00F024FC"/>
    <w:rsid w:val="00F15C9B"/>
    <w:rsid w:val="00F2426F"/>
    <w:rsid w:val="00F66846"/>
    <w:rsid w:val="00F735F4"/>
    <w:rsid w:val="00F874F4"/>
    <w:rsid w:val="00FA1A45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Экономист</cp:lastModifiedBy>
  <cp:revision>20</cp:revision>
  <cp:lastPrinted>2020-09-02T23:16:00Z</cp:lastPrinted>
  <dcterms:created xsi:type="dcterms:W3CDTF">2019-10-11T00:26:00Z</dcterms:created>
  <dcterms:modified xsi:type="dcterms:W3CDTF">2020-09-03T04:57:00Z</dcterms:modified>
</cp:coreProperties>
</file>