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7C" w:rsidRDefault="00A8207C" w:rsidP="00AB1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5245"/>
      </w:tblGrid>
      <w:tr w:rsidR="00A8207C" w:rsidTr="00AB1112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07C" w:rsidRPr="00AB1112" w:rsidRDefault="00830497" w:rsidP="00AB1112">
            <w:pPr>
              <w:spacing w:before="0" w:beforeAutospacing="0" w:after="0" w:afterAutospacing="0"/>
              <w:rPr>
                <w:lang w:val="ru-RU"/>
              </w:rPr>
            </w:pP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B1112">
              <w:rPr>
                <w:lang w:val="ru-RU"/>
              </w:rPr>
              <w:br/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AB1112">
              <w:rPr>
                <w:lang w:val="ru-RU"/>
              </w:rPr>
              <w:br/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</w:t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AB1112">
              <w:rPr>
                <w:lang w:val="ru-RU"/>
              </w:rPr>
              <w:br/>
            </w:r>
            <w:proofErr w:type="gramStart"/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207C" w:rsidRPr="00AB1112" w:rsidRDefault="00830497" w:rsidP="00AB11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8207C" w:rsidRPr="00AB1112" w:rsidRDefault="00830497" w:rsidP="00AB11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1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34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(название организации)</w:t>
            </w:r>
          </w:p>
          <w:p w:rsidR="00A8207C" w:rsidRDefault="00830497" w:rsidP="00AB11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A8207C" w:rsidRDefault="00830497" w:rsidP="00AB11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</w:p>
        </w:tc>
      </w:tr>
      <w:tr w:rsidR="00A8207C" w:rsidTr="00AB1112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07C" w:rsidRDefault="00A8207C" w:rsidP="00AB11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207C" w:rsidRDefault="00A8207C" w:rsidP="00AB111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207C" w:rsidRPr="00AB1112" w:rsidRDefault="00830497" w:rsidP="00AB111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AB1112">
        <w:rPr>
          <w:b/>
          <w:color w:val="222222"/>
          <w:sz w:val="33"/>
          <w:szCs w:val="33"/>
          <w:lang w:val="ru-RU"/>
        </w:rPr>
        <w:t>Положение о системе управления охраной труда</w:t>
      </w:r>
      <w:r w:rsidRPr="00AB1112">
        <w:rPr>
          <w:b/>
          <w:color w:val="222222"/>
          <w:sz w:val="33"/>
          <w:szCs w:val="33"/>
        </w:rPr>
        <w:t> 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I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(название организации)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1112">
        <w:rPr>
          <w:lang w:val="ru-RU"/>
        </w:rPr>
        <w:br/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  <w:proofErr w:type="gramEnd"/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наилучшей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ионных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II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Политика и цели по охране труда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декларацией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намерении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гарантированном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агаются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8207C" w:rsidRPr="00AB1112" w:rsidRDefault="00830497" w:rsidP="00AB1112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доступна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оценивае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стратегическим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пересматривает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формируемыми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формулируются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измеримых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сиональным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осуществимо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8207C" w:rsidRDefault="00830497" w:rsidP="00AB1112">
      <w:pPr>
        <w:numPr>
          <w:ilvl w:val="0"/>
          <w:numId w:val="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Default="00830497" w:rsidP="00AB1112">
      <w:pPr>
        <w:numPr>
          <w:ilvl w:val="0"/>
          <w:numId w:val="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2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пересматривает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долгосрочными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краткосрочными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III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Планирование СУОТ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75F">
        <w:rPr>
          <w:rFonts w:hAnsi="Times New Roman" w:cs="Times New Roman"/>
          <w:color w:val="000000"/>
          <w:sz w:val="24"/>
          <w:szCs w:val="24"/>
          <w:lang w:val="ru-RU"/>
        </w:rPr>
        <w:t xml:space="preserve">(название организации)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нежелательных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передовой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отечественный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зарубежный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финансов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сопровождающихся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примерным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771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28.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ожидаемый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выделяемые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IV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Обеспечен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ие функционирования СУОТ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29.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влиять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непрерывную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30. ______________________________________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32.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информирован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вещаний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аудиоматериалов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lastRenderedPageBreak/>
        <w:t>V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Распределение обязанностей между должностными лицами в сфере охраны труда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33.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______.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Pr="00AB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8207C" w:rsidRDefault="00830497" w:rsidP="00AB1112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ольких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8207C" w:rsidRDefault="00830497" w:rsidP="00AB1112">
      <w:pPr>
        <w:numPr>
          <w:ilvl w:val="0"/>
          <w:numId w:val="3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доверенных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39.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приказах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40.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 ____________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организовывает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ресурсное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ециалистом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удовлетворяющих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4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отстраняет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неоднократные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) ___________________________________________________________________________:</w:t>
      </w:r>
    </w:p>
    <w:p w:rsidR="00A8207C" w:rsidRPr="00AB1112" w:rsidRDefault="00830497" w:rsidP="00AB1112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5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5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) ________: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исциплины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следит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блокировочных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сигнализирующих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переходов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захламленности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загроможденности</w:t>
      </w:r>
      <w:proofErr w:type="spell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6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) _______________________: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рудового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оперативную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аботке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пересмотре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одит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7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намечает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ествляет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) _______________________________________: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делегирует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очий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удовлетворяющих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новении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уктурного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общедост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8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) ________________: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отделах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оградительными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происше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9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ециалиста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VI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 xml:space="preserve">. Функционирование </w:t>
      </w:r>
      <w:r w:rsidRPr="00AB1112">
        <w:rPr>
          <w:b/>
          <w:bCs/>
          <w:color w:val="252525"/>
          <w:spacing w:val="-2"/>
          <w:sz w:val="28"/>
          <w:szCs w:val="28"/>
        </w:rPr>
        <w:t>C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УОТ</w:t>
      </w:r>
    </w:p>
    <w:p w:rsidR="00A8207C" w:rsidRPr="00AB1112" w:rsidRDefault="00830497" w:rsidP="00AB11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1. Специальная оценка условий труда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42.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 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43.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осуществлени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проводящей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учитывающий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компетентной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____ .</w:t>
      </w:r>
    </w:p>
    <w:p w:rsidR="00A8207C" w:rsidRPr="00AB1112" w:rsidRDefault="00830497" w:rsidP="00AB11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2. Оценка профессиональных рисков</w:t>
      </w:r>
      <w:r w:rsidRPr="00AB1112">
        <w:rPr>
          <w:b/>
          <w:bCs/>
          <w:color w:val="252525"/>
          <w:spacing w:val="-2"/>
          <w:sz w:val="28"/>
          <w:szCs w:val="28"/>
        </w:rPr>
        <w:t> 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75F">
        <w:rPr>
          <w:rFonts w:hAnsi="Times New Roman" w:cs="Times New Roman"/>
          <w:color w:val="000000"/>
          <w:sz w:val="24"/>
          <w:szCs w:val="24"/>
          <w:lang w:val="ru-RU"/>
        </w:rPr>
        <w:t>(название организации)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недопущению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75F">
        <w:rPr>
          <w:rFonts w:hAnsi="Times New Roman" w:cs="Times New Roman"/>
          <w:color w:val="000000"/>
          <w:sz w:val="24"/>
          <w:szCs w:val="24"/>
          <w:lang w:val="ru-RU"/>
        </w:rPr>
        <w:t>(_______)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="0003475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обнаружению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распознаванию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31.01.2022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36.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47.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упорядочивание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приемлемом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инцидентами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подконтрольных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49.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28.12.2021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926.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50. 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регулярный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51.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52.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_______________. _____________________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3. Проведение обучения работников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53.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24.12.2021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2464.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54.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76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55.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8207C" w:rsidRPr="00AB1112" w:rsidRDefault="00830497" w:rsidP="00AB11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4. Обеспечение безопасности работников при эксплуатации зданий и сооружений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зор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несущих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ограждающих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10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эксплуатационной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энергообеспечения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8207C" w:rsidRPr="00AB1112" w:rsidRDefault="00830497" w:rsidP="00AB1112">
      <w:pPr>
        <w:numPr>
          <w:ilvl w:val="0"/>
          <w:numId w:val="10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интерьеров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архитектурно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строительных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покрытием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ревизий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безотлагательных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ремонтов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надлежащем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ехническом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кровли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водосточных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воронок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трубопроводов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водостока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теплоснабжения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замачивания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грунтов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фундаментов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температурно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ажностного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гигиенического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взрывобезопасного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зимних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складирования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габаритов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входах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прилегающих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59. _____________________________________________________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1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проявленное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оевременного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1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нару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60.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определяться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ведущим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ежедневные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устанавливаемые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плановом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визуальное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8207C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фундаменты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встроенные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насосные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тепловые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элеваторные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инженерные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ограждающие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фасада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балконы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лоджии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эркеры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козырьки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водоотводящие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ройства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8207C" w:rsidRPr="00AB1112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кровли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кровельные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дымовые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инженерные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расположенные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кровельных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пространствах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этажно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капитальные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перегородки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ещений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санузлы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инженерное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строительные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несущие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габаритных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приближений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наружные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обустройства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устройства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Pr="00AB1112" w:rsidRDefault="00830497" w:rsidP="00AB1112">
      <w:pPr>
        <w:numPr>
          <w:ilvl w:val="0"/>
          <w:numId w:val="12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овые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Весенний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несущих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ограждающих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3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3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фонарей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желобов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водостоков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ливнеприемников</w:t>
      </w:r>
      <w:proofErr w:type="spell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Осенний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роводится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8207C" w:rsidRPr="00AB1112" w:rsidRDefault="00830497" w:rsidP="00AB1112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открывающихся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фонарей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ентаря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очистки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4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исправности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отопления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водопровода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A8207C" w:rsidRPr="00AB1112" w:rsidRDefault="00830497" w:rsidP="00AB1112">
      <w:pPr>
        <w:numPr>
          <w:ilvl w:val="0"/>
          <w:numId w:val="14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водостоков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желобов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ливневой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канализации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кровли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ураганных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ветров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ливней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снегопадов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обнаруженные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дефекты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экземпляров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эксплу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атации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5. Санитарно-бытовое обеспечение работников</w:t>
      </w:r>
      <w:r w:rsidRPr="00AB1112">
        <w:rPr>
          <w:b/>
          <w:bCs/>
          <w:color w:val="252525"/>
          <w:spacing w:val="-2"/>
          <w:sz w:val="28"/>
          <w:szCs w:val="28"/>
        </w:rPr>
        <w:t> 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62.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63.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холодильниками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микроволновыми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печами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отвечающими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аптечками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укомплектованными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бором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6. Обеспечение режимов труда и отдыха работн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иков</w:t>
      </w:r>
      <w:r w:rsidRPr="00AB1112">
        <w:rPr>
          <w:b/>
          <w:bCs/>
          <w:color w:val="252525"/>
          <w:spacing w:val="-2"/>
          <w:sz w:val="28"/>
          <w:szCs w:val="28"/>
        </w:rPr>
        <w:t> </w:t>
      </w:r>
    </w:p>
    <w:p w:rsidR="00A8207C" w:rsidRPr="00AB1112" w:rsidRDefault="00830497" w:rsidP="000347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фактор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0347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03475F">
      <w:pPr>
        <w:spacing w:before="0" w:beforeAutospacing="0" w:after="0" w:afterAutospacing="0"/>
        <w:ind w:right="32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03475F">
      <w:pPr>
        <w:spacing w:before="0" w:beforeAutospacing="0" w:after="0" w:afterAutospacing="0"/>
        <w:ind w:right="14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0347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внутрисменных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ерерывов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микроклиматических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0347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0347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онтролируется</w:t>
      </w:r>
      <w:r w:rsidRPr="00AB1112">
        <w:rPr>
          <w:lang w:val="ru-RU"/>
        </w:rPr>
        <w:br/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03475F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7. Обеспечение социального страхования работников</w:t>
      </w:r>
    </w:p>
    <w:p w:rsidR="00A8207C" w:rsidRPr="00AB1112" w:rsidRDefault="00830497" w:rsidP="000347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68.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длежат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пенсионному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материнством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Default="00830497" w:rsidP="000347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69.____________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8207C" w:rsidRPr="00AB1112" w:rsidRDefault="00830497" w:rsidP="0003475F">
      <w:pPr>
        <w:numPr>
          <w:ilvl w:val="0"/>
          <w:numId w:val="15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исчислять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уплачивать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перечислять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взносы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03475F">
      <w:pPr>
        <w:numPr>
          <w:ilvl w:val="0"/>
          <w:numId w:val="15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необеспечение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03475F">
      <w:pPr>
        <w:numPr>
          <w:ilvl w:val="0"/>
          <w:numId w:val="15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8. Взаимодействие с государственными надзорными органами, органами исполнительной власти и профсоюзного контроля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70.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ожида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применимо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72.</w:t>
      </w:r>
      <w:r w:rsidRPr="00AB1112"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________________________________.</w:t>
      </w:r>
    </w:p>
    <w:p w:rsidR="00A8207C" w:rsidRPr="00AB1112" w:rsidRDefault="00830497" w:rsidP="00AB1112">
      <w:pPr>
        <w:pBdr>
          <w:bottom w:val="single" w:sz="4" w:space="1" w:color="auto"/>
        </w:pBd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9. Реагирование на аварии, несчастные случаи, микротравмы и</w:t>
      </w:r>
      <w:r w:rsidRPr="00AB1112">
        <w:rPr>
          <w:b/>
          <w:bCs/>
          <w:color w:val="252525"/>
          <w:spacing w:val="-2"/>
          <w:sz w:val="28"/>
          <w:szCs w:val="28"/>
        </w:rPr>
        <w:t> 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профессиональные заболевания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73.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недопу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гарантировать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невозобновление</w:t>
      </w:r>
      <w:proofErr w:type="spell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направиться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компетентным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службам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надежной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здравпункта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(________________;</w:t>
      </w:r>
      <w:proofErr w:type="gramEnd"/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(________________;</w:t>
      </w:r>
      <w:proofErr w:type="gramEnd"/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(________________.</w:t>
      </w:r>
      <w:proofErr w:type="gramEnd"/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справок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зникновение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VII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Управление документами СУОТ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содержащ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6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</w:p>
    <w:p w:rsidR="00A8207C" w:rsidRDefault="00830497" w:rsidP="00AB1112">
      <w:pPr>
        <w:numPr>
          <w:ilvl w:val="0"/>
          <w:numId w:val="16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78.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79.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80.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пересмотру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обновлению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етные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8207C" w:rsidRPr="00AB1112" w:rsidRDefault="00830497" w:rsidP="00AB1112">
      <w:pPr>
        <w:spacing w:before="0" w:beforeAutospacing="0" w:after="0" w:afterAutospacing="0"/>
        <w:ind w:right="24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вытекающие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воздействиях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наблюдении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475F" w:rsidRDefault="0003475F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AB1112">
        <w:rPr>
          <w:b/>
          <w:bCs/>
          <w:color w:val="252525"/>
          <w:spacing w:val="-2"/>
          <w:sz w:val="28"/>
          <w:szCs w:val="28"/>
        </w:rPr>
        <w:lastRenderedPageBreak/>
        <w:t>VIII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Оценка результатов деятельности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(_______________), 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соглашениям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82.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(_________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__________________________________________________________); 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регулярный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фотонаблюдения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83.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повышени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трехступенчатые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едусматривается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затронут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необход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имость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ределяется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абсолютные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7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удельные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7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86.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__________.</w:t>
      </w:r>
    </w:p>
    <w:p w:rsidR="00A8207C" w:rsidRPr="00AB1112" w:rsidRDefault="00830497" w:rsidP="00AB11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87.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её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IX</w:t>
      </w:r>
      <w:r w:rsidRPr="00AB1112">
        <w:rPr>
          <w:b/>
          <w:bCs/>
          <w:color w:val="252525"/>
          <w:spacing w:val="-2"/>
          <w:sz w:val="28"/>
          <w:szCs w:val="28"/>
          <w:lang w:val="ru-RU"/>
        </w:rPr>
        <w:t>. Улучшение функционирования СУОТ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88.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89.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корректиру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90.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ядок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 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91.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Корректирующие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расследований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92.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овершенствованию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1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8207C" w:rsidRDefault="00830497" w:rsidP="00AB1112">
      <w:pPr>
        <w:numPr>
          <w:ilvl w:val="0"/>
          <w:numId w:val="18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Default="00830497" w:rsidP="00AB1112">
      <w:pPr>
        <w:numPr>
          <w:ilvl w:val="0"/>
          <w:numId w:val="18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207C" w:rsidRPr="00AB1112" w:rsidRDefault="00830497" w:rsidP="00AB111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AB1112">
        <w:rPr>
          <w:b/>
          <w:bCs/>
          <w:color w:val="252525"/>
          <w:spacing w:val="-2"/>
          <w:sz w:val="28"/>
          <w:szCs w:val="28"/>
        </w:rPr>
        <w:t>X. Заключительные положения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93.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94.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12.0.230.2-2015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«Межгосударс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твенный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12.0.230-2007.</w:t>
      </w:r>
    </w:p>
    <w:p w:rsidR="00A8207C" w:rsidRPr="00AB1112" w:rsidRDefault="00830497" w:rsidP="00AB111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95.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8207C" w:rsidRPr="00AB1112" w:rsidRDefault="00830497" w:rsidP="00AB1112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Pr="00AB1112" w:rsidRDefault="00830497" w:rsidP="00AB1112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12.0.007-2009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совершенствованию»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207C" w:rsidRDefault="00830497" w:rsidP="00AB1112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12.0.230-2007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Default="00830497" w:rsidP="00AB1112">
      <w:pPr>
        <w:numPr>
          <w:ilvl w:val="0"/>
          <w:numId w:val="19"/>
        </w:numPr>
        <w:spacing w:before="0" w:beforeAutospacing="0" w:after="0" w:afterAutospacing="0"/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12.0.230.1-2015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207C" w:rsidRDefault="00830497" w:rsidP="00AB1112">
      <w:pPr>
        <w:numPr>
          <w:ilvl w:val="0"/>
          <w:numId w:val="19"/>
        </w:numPr>
        <w:spacing w:before="0" w:beforeAutospacing="0" w:after="0" w:afterAutospacing="0"/>
        <w:ind w:left="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12.0.230.2-2015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B11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A8207C" w:rsidSect="00AB1112">
      <w:pgSz w:w="11907" w:h="16839"/>
      <w:pgMar w:top="426" w:right="708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1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75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B2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D4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46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F1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10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14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A3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65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82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D7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446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4E6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E7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2D7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1D3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B3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8"/>
  </w:num>
  <w:num w:numId="13">
    <w:abstractNumId w:val="16"/>
  </w:num>
  <w:num w:numId="14">
    <w:abstractNumId w:val="1"/>
  </w:num>
  <w:num w:numId="15">
    <w:abstractNumId w:val="15"/>
  </w:num>
  <w:num w:numId="16">
    <w:abstractNumId w:val="0"/>
  </w:num>
  <w:num w:numId="17">
    <w:abstractNumId w:val="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75F"/>
    <w:rsid w:val="002D33B1"/>
    <w:rsid w:val="002D3591"/>
    <w:rsid w:val="003514A0"/>
    <w:rsid w:val="004F7E17"/>
    <w:rsid w:val="005A05CE"/>
    <w:rsid w:val="00653AF6"/>
    <w:rsid w:val="00830497"/>
    <w:rsid w:val="00A8207C"/>
    <w:rsid w:val="00AB111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7136</Words>
  <Characters>40677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dc:description>Подготовлено экспертами Актион-МЦФЭР</dc:description>
  <cp:lastModifiedBy>Natasha</cp:lastModifiedBy>
  <cp:revision>2</cp:revision>
  <dcterms:created xsi:type="dcterms:W3CDTF">2022-09-05T22:53:00Z</dcterms:created>
  <dcterms:modified xsi:type="dcterms:W3CDTF">2022-09-05T22:53:00Z</dcterms:modified>
</cp:coreProperties>
</file>